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72CBF" w14:textId="45CC7637" w:rsidR="000B21C5" w:rsidRPr="00036508" w:rsidRDefault="000B21C5" w:rsidP="000B21C5">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w:t>
      </w:r>
      <w:r>
        <w:rPr>
          <w:rFonts w:cs="Arial"/>
          <w:sz w:val="24"/>
          <w:szCs w:val="24"/>
          <w:lang w:eastAsia="zh-CN"/>
        </w:rPr>
        <w:t>10bis</w:t>
      </w:r>
      <w:r w:rsidRPr="00036508">
        <w:rPr>
          <w:rFonts w:cs="Arial"/>
          <w:sz w:val="24"/>
          <w:szCs w:val="24"/>
          <w:lang w:eastAsia="zh-CN"/>
        </w:rPr>
        <w:tab/>
      </w:r>
      <w:r w:rsidRPr="00B5758D">
        <w:rPr>
          <w:rFonts w:cs="Arial"/>
          <w:sz w:val="24"/>
          <w:szCs w:val="24"/>
          <w:lang w:eastAsia="zh-CN"/>
        </w:rPr>
        <w:t>R4-240</w:t>
      </w:r>
      <w:r w:rsidR="00B5758D">
        <w:rPr>
          <w:rFonts w:cs="Arial"/>
          <w:sz w:val="24"/>
          <w:szCs w:val="24"/>
          <w:lang w:eastAsia="zh-CN"/>
        </w:rPr>
        <w:t>4972</w:t>
      </w:r>
    </w:p>
    <w:p w14:paraId="0DDC6857" w14:textId="77777777" w:rsidR="000B21C5" w:rsidRPr="00036508" w:rsidRDefault="000B21C5" w:rsidP="000B21C5">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2"/>
    <w:bookmarkEnd w:id="3"/>
    <w:p w14:paraId="59227378" w14:textId="7940E409"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0F1E50" w:rsidRPr="00095434">
        <w:rPr>
          <w:rFonts w:ascii="Arial" w:hAnsi="Arial" w:cs="Arial"/>
          <w:bCs/>
          <w:sz w:val="22"/>
          <w:szCs w:val="22"/>
        </w:rPr>
        <w:t>6</w:t>
      </w:r>
      <w:r w:rsidRPr="00095434">
        <w:rPr>
          <w:rFonts w:ascii="Arial" w:hAnsi="Arial" w:cs="Arial"/>
          <w:bCs/>
          <w:sz w:val="22"/>
          <w:szCs w:val="22"/>
        </w:rPr>
        <w:t>.</w:t>
      </w:r>
      <w:r w:rsidR="003C1882" w:rsidRPr="00095434">
        <w:rPr>
          <w:rFonts w:ascii="Arial" w:hAnsi="Arial" w:cs="Arial"/>
          <w:bCs/>
          <w:sz w:val="22"/>
          <w:szCs w:val="22"/>
        </w:rPr>
        <w:t>2</w:t>
      </w:r>
      <w:r w:rsidR="000F1E50" w:rsidRPr="00095434">
        <w:rPr>
          <w:rFonts w:ascii="Arial" w:hAnsi="Arial" w:cs="Arial"/>
          <w:bCs/>
          <w:sz w:val="22"/>
          <w:szCs w:val="22"/>
        </w:rPr>
        <w:t>4</w:t>
      </w:r>
      <w:r w:rsidRPr="00095434">
        <w:rPr>
          <w:rFonts w:ascii="Arial" w:hAnsi="Arial" w:cs="Arial"/>
          <w:bCs/>
          <w:sz w:val="22"/>
          <w:szCs w:val="22"/>
        </w:rPr>
        <w:t>.</w:t>
      </w:r>
      <w:r w:rsidR="003C1882" w:rsidRPr="00095434">
        <w:rPr>
          <w:rFonts w:ascii="Arial" w:hAnsi="Arial" w:cs="Arial"/>
          <w:bCs/>
          <w:sz w:val="22"/>
          <w:szCs w:val="22"/>
        </w:rPr>
        <w:t>2</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33022D32"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00156F">
        <w:rPr>
          <w:rFonts w:ascii="Arial" w:hAnsi="Arial" w:cs="Arial"/>
          <w:sz w:val="22"/>
          <w:szCs w:val="22"/>
        </w:rPr>
        <w:t>Remaining</w:t>
      </w:r>
      <w:r w:rsidR="007354CC">
        <w:rPr>
          <w:rFonts w:ascii="Arial" w:hAnsi="Arial" w:cs="Arial"/>
          <w:sz w:val="22"/>
          <w:szCs w:val="22"/>
        </w:rPr>
        <w:t xml:space="preserve"> issues </w:t>
      </w:r>
      <w:r w:rsidR="002B3EC2">
        <w:rPr>
          <w:rFonts w:ascii="Arial" w:hAnsi="Arial" w:cs="Arial"/>
          <w:sz w:val="22"/>
          <w:szCs w:val="22"/>
        </w:rPr>
        <w:t>o</w:t>
      </w:r>
      <w:r w:rsidR="0000156F">
        <w:rPr>
          <w:rFonts w:ascii="Arial" w:hAnsi="Arial" w:cs="Arial"/>
          <w:sz w:val="22"/>
          <w:szCs w:val="22"/>
        </w:rPr>
        <w:t>n</w:t>
      </w:r>
      <w:r w:rsidR="007354CC">
        <w:rPr>
          <w:rFonts w:ascii="Arial" w:hAnsi="Arial" w:cs="Arial"/>
          <w:sz w:val="22"/>
          <w:szCs w:val="22"/>
        </w:rPr>
        <w:t xml:space="preserve"> </w:t>
      </w:r>
      <w:r w:rsidR="00893A7A">
        <w:rPr>
          <w:rFonts w:ascii="Arial" w:hAnsi="Arial" w:cs="Arial"/>
          <w:sz w:val="22"/>
          <w:szCs w:val="22"/>
        </w:rPr>
        <w:t>NES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5A12B784" w14:textId="23C4D462" w:rsidR="00361F49" w:rsidRDefault="00361F49" w:rsidP="00BC7BC5">
      <w:pPr>
        <w:spacing w:before="240" w:after="0"/>
        <w:jc w:val="both"/>
        <w:rPr>
          <w:rFonts w:eastAsiaTheme="minorEastAsia"/>
          <w:lang w:val="en-US" w:eastAsia="zh-CN"/>
        </w:rPr>
      </w:pPr>
      <w:r>
        <w:rPr>
          <w:rFonts w:eastAsiaTheme="minorEastAsia"/>
          <w:lang w:val="en-US" w:eastAsia="zh-CN"/>
        </w:rPr>
        <w:t xml:space="preserve">In RP #98, a new WI for network energy saving was introduced with the following </w:t>
      </w:r>
      <w:r w:rsidR="007C332E">
        <w:rPr>
          <w:rFonts w:eastAsiaTheme="minorEastAsia"/>
          <w:lang w:val="en-US" w:eastAsia="zh-CN"/>
        </w:rPr>
        <w:t>objectives</w:t>
      </w:r>
      <w:r>
        <w:rPr>
          <w:rFonts w:eastAsiaTheme="minorEastAsia"/>
          <w:lang w:val="en-US" w:eastAsia="zh-CN"/>
        </w:rPr>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7238F3A3" w14:textId="77777777" w:rsidR="007C332E" w:rsidRDefault="007C332E">
            <w:pPr>
              <w:numPr>
                <w:ilvl w:val="0"/>
                <w:numId w:val="2"/>
              </w:numPr>
              <w:overflowPunct w:val="0"/>
              <w:autoSpaceDE w:val="0"/>
              <w:autoSpaceDN w:val="0"/>
              <w:adjustRightInd w:val="0"/>
              <w:spacing w:after="0"/>
              <w:ind w:leftChars="100" w:left="620"/>
              <w:textAlignment w:val="baseline"/>
              <w:rPr>
                <w:bCs/>
              </w:rPr>
            </w:pPr>
            <w:r w:rsidRPr="00347FE8">
              <w:rPr>
                <w:bCs/>
              </w:rPr>
              <w:t xml:space="preserve">Specify SSB-less SCell operation for inter-band CA for FR1 and co-located cells, if found feasible by RAN4 study, where a UE measures SSB transmitted on PCell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SCell activation procedures if necessary</w:t>
            </w:r>
            <w:r>
              <w:rPr>
                <w:bCs/>
              </w:rPr>
              <w:t xml:space="preserve"> </w:t>
            </w:r>
            <w:r w:rsidRPr="00347FE8">
              <w:rPr>
                <w:bCs/>
              </w:rPr>
              <w:t>[RAN4, RAN2]</w:t>
            </w:r>
          </w:p>
          <w:p w14:paraId="0DE7BACA" w14:textId="77777777" w:rsidR="007C332E" w:rsidRPr="00347FE8" w:rsidRDefault="007C332E" w:rsidP="007C332E">
            <w:pPr>
              <w:spacing w:after="0"/>
              <w:ind w:left="620"/>
              <w:rPr>
                <w:bCs/>
              </w:rPr>
            </w:pPr>
          </w:p>
          <w:p w14:paraId="0DF5938E" w14:textId="77777777" w:rsidR="007C332E" w:rsidRPr="00347FE8" w:rsidRDefault="007C332E">
            <w:pPr>
              <w:numPr>
                <w:ilvl w:val="0"/>
                <w:numId w:val="2"/>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212A5C98" w14:textId="77777777" w:rsidR="007C332E" w:rsidRPr="00347FE8"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Note: No change for SSB transmission due to cell DTX/DRX.</w:t>
            </w:r>
          </w:p>
          <w:p w14:paraId="712EFAEC" w14:textId="77777777" w:rsidR="007C332E"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6AB3171A" w14:textId="77777777" w:rsidR="007C332E" w:rsidRPr="00347FE8" w:rsidRDefault="007C332E" w:rsidP="007C332E">
            <w:pPr>
              <w:overflowPunct w:val="0"/>
              <w:autoSpaceDE w:val="0"/>
              <w:autoSpaceDN w:val="0"/>
              <w:adjustRightInd w:val="0"/>
              <w:spacing w:after="0"/>
              <w:ind w:left="1049"/>
              <w:jc w:val="both"/>
              <w:textAlignment w:val="baseline"/>
              <w:rPr>
                <w:bCs/>
                <w:lang w:val="en-US" w:eastAsia="zh-CN"/>
              </w:rPr>
            </w:pPr>
          </w:p>
          <w:p w14:paraId="325D296B" w14:textId="77777777" w:rsidR="007C332E" w:rsidRPr="00EF1F3C" w:rsidRDefault="007C332E">
            <w:pPr>
              <w:numPr>
                <w:ilvl w:val="0"/>
                <w:numId w:val="2"/>
              </w:numPr>
              <w:overflowPunct w:val="0"/>
              <w:autoSpaceDE w:val="0"/>
              <w:autoSpaceDN w:val="0"/>
              <w:adjustRightInd w:val="0"/>
              <w:spacing w:after="0"/>
              <w:ind w:leftChars="100" w:left="620"/>
              <w:textAlignment w:val="baseline"/>
              <w:rPr>
                <w:bCs/>
              </w:rPr>
            </w:pPr>
            <w:r w:rsidRPr="00EF1F3C">
              <w:rPr>
                <w:bCs/>
              </w:rPr>
              <w:t>Specify the following techniques in spatial and power domains</w:t>
            </w:r>
          </w:p>
          <w:p w14:paraId="3B0AC71C"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278563D3"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435369A6"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Note: Above objectives are only for UE specific channels/signals</w:t>
            </w:r>
          </w:p>
          <w:p w14:paraId="7208D088"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734D955" w14:textId="77777777" w:rsidR="007C332E" w:rsidRPr="00EF1F3C" w:rsidRDefault="007C332E" w:rsidP="007C332E">
            <w:pPr>
              <w:pStyle w:val="BodyText"/>
              <w:spacing w:after="0"/>
              <w:ind w:left="1049"/>
              <w:jc w:val="both"/>
              <w:rPr>
                <w:rFonts w:ascii="Times" w:hAnsi="Times" w:cs="Times"/>
                <w:bCs/>
                <w:i/>
                <w:iCs/>
                <w:szCs w:val="22"/>
                <w:lang w:eastAsia="zh-CN"/>
              </w:rPr>
            </w:pPr>
          </w:p>
          <w:p w14:paraId="21826953" w14:textId="77777777" w:rsidR="007C332E"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30F47A8" w14:textId="77777777" w:rsidR="007C332E" w:rsidRPr="00321C40" w:rsidRDefault="007C332E" w:rsidP="007C332E">
            <w:pPr>
              <w:spacing w:after="0"/>
              <w:ind w:left="620"/>
              <w:rPr>
                <w:bCs/>
              </w:rPr>
            </w:pPr>
          </w:p>
          <w:p w14:paraId="1C3CBBD8" w14:textId="77777777" w:rsidR="007C332E" w:rsidRPr="00321C40"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60FF0FB4" w14:textId="77777777" w:rsidR="007C332E" w:rsidRPr="00BA3218" w:rsidRDefault="007C332E" w:rsidP="007C332E">
            <w:pPr>
              <w:spacing w:after="0"/>
              <w:ind w:left="620"/>
              <w:rPr>
                <w:bCs/>
                <w:lang w:val="en-US"/>
              </w:rPr>
            </w:pPr>
          </w:p>
          <w:p w14:paraId="340A5C1C" w14:textId="77777777" w:rsidR="007C332E" w:rsidRPr="00321C40"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0C7C7159" w14:textId="77777777" w:rsidR="007C332E" w:rsidRPr="00EF1F3C" w:rsidRDefault="007C332E" w:rsidP="007C332E">
            <w:pPr>
              <w:spacing w:after="0"/>
              <w:rPr>
                <w:bCs/>
              </w:rPr>
            </w:pPr>
          </w:p>
          <w:p w14:paraId="2AE3D722" w14:textId="24230E1D" w:rsidR="00361F49" w:rsidRDefault="007C332E">
            <w:pPr>
              <w:numPr>
                <w:ilvl w:val="0"/>
                <w:numId w:val="2"/>
              </w:numPr>
              <w:overflowPunct w:val="0"/>
              <w:autoSpaceDE w:val="0"/>
              <w:autoSpaceDN w:val="0"/>
              <w:adjustRightInd w:val="0"/>
              <w:spacing w:after="0"/>
              <w:ind w:leftChars="100" w:left="620"/>
              <w:textAlignment w:val="baseline"/>
              <w:rPr>
                <w:rFonts w:eastAsiaTheme="minorEastAsia"/>
                <w:lang w:val="en-US" w:eastAsia="zh-CN"/>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tc>
      </w:tr>
    </w:tbl>
    <w:p w14:paraId="0D84963F" w14:textId="5CEA760F" w:rsidR="003548F1" w:rsidRPr="003123B3" w:rsidRDefault="00F822FA" w:rsidP="00BC7BC5">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w:t>
      </w:r>
      <w:r w:rsidR="00B11734">
        <w:rPr>
          <w:rFonts w:eastAsiaTheme="minorEastAsia"/>
          <w:lang w:val="en-US" w:eastAsia="zh-CN"/>
        </w:rPr>
        <w:t>achieved agreements on most open issues</w:t>
      </w:r>
      <w:r w:rsidR="00BC7BC5">
        <w:rPr>
          <w:rFonts w:eastAsiaTheme="minorEastAsia"/>
          <w:lang w:val="en-US" w:eastAsia="zh-CN"/>
        </w:rPr>
        <w:t>.</w:t>
      </w:r>
      <w:r w:rsidR="00DF0610">
        <w:rPr>
          <w:rFonts w:eastAsiaTheme="minorEastAsia"/>
          <w:lang w:val="en-US" w:eastAsia="zh-CN"/>
        </w:rPr>
        <w:t xml:space="preserve"> </w:t>
      </w:r>
      <w:r w:rsidR="003548F1" w:rsidRPr="003123B3">
        <w:rPr>
          <w:lang w:val="en-US"/>
        </w:rPr>
        <w:t xml:space="preserve">In this contribution, we </w:t>
      </w:r>
      <w:r w:rsidR="00B11734">
        <w:rPr>
          <w:lang w:val="en-US"/>
        </w:rPr>
        <w:t>continue to discuss the remaining issue on</w:t>
      </w:r>
      <w:r w:rsidR="007C332E">
        <w:rPr>
          <w:lang w:val="en-US"/>
        </w:rPr>
        <w:t xml:space="preserve"> NES</w:t>
      </w:r>
      <w:r w:rsidR="003548F1" w:rsidRPr="003123B3">
        <w:rPr>
          <w:lang w:val="en-US"/>
        </w:rPr>
        <w:t xml:space="preserve">. </w:t>
      </w:r>
    </w:p>
    <w:p w14:paraId="0057A3CD" w14:textId="77777777" w:rsidR="00EF4C0A" w:rsidRDefault="00EF4C0A" w:rsidP="00EF4C0A">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SSB less SCell activation</w:t>
      </w:r>
    </w:p>
    <w:p w14:paraId="3D33A379" w14:textId="77777777" w:rsidR="00EF4C0A" w:rsidRPr="0035212D" w:rsidRDefault="00EF4C0A" w:rsidP="00EF4C0A">
      <w:pPr>
        <w:spacing w:before="240" w:after="0"/>
        <w:jc w:val="both"/>
      </w:pPr>
      <w:r w:rsidRPr="0035212D">
        <w:t xml:space="preserve">Reception power difference </w:t>
      </w:r>
      <w:r>
        <w:t xml:space="preserve">side condition is one of the remaining open issues for the SSB less SCell activation side conditions. </w:t>
      </w:r>
    </w:p>
    <w:p w14:paraId="0113350D" w14:textId="77777777" w:rsidR="00EF4C0A" w:rsidRPr="0035212D" w:rsidRDefault="00EF4C0A" w:rsidP="00EF4C0A">
      <w:pPr>
        <w:spacing w:before="120"/>
        <w:jc w:val="both"/>
        <w:rPr>
          <w:lang w:val="en-US"/>
        </w:rPr>
      </w:pPr>
      <w:r w:rsidRPr="0035212D">
        <w:rPr>
          <w:lang w:val="en-US"/>
        </w:rPr>
        <w:t>Receive power difference is dependent on the following factors.</w:t>
      </w:r>
    </w:p>
    <w:p w14:paraId="58E6D849" w14:textId="77777777" w:rsidR="00EF4C0A" w:rsidRPr="0035212D" w:rsidRDefault="00EF4C0A" w:rsidP="00EF4C0A">
      <w:pPr>
        <w:pStyle w:val="ListParagraph"/>
        <w:numPr>
          <w:ilvl w:val="0"/>
          <w:numId w:val="14"/>
        </w:numPr>
        <w:spacing w:before="120" w:after="180"/>
        <w:jc w:val="both"/>
        <w:rPr>
          <w:rFonts w:ascii="Times New Roman" w:hAnsi="Times New Roman"/>
          <w:sz w:val="20"/>
        </w:rPr>
      </w:pPr>
      <w:r w:rsidRPr="0035212D">
        <w:rPr>
          <w:rFonts w:ascii="Times New Roman" w:hAnsi="Times New Roman"/>
          <w:sz w:val="20"/>
        </w:rPr>
        <w:t xml:space="preserve">Different propagation conditions between and within carriers </w:t>
      </w:r>
    </w:p>
    <w:p w14:paraId="2B045AF0" w14:textId="77777777" w:rsidR="00EF4C0A" w:rsidRPr="0035212D" w:rsidRDefault="00EF4C0A" w:rsidP="00EF4C0A">
      <w:pPr>
        <w:pStyle w:val="ListParagraph"/>
        <w:numPr>
          <w:ilvl w:val="0"/>
          <w:numId w:val="14"/>
        </w:numPr>
        <w:spacing w:before="120" w:after="180"/>
        <w:jc w:val="both"/>
        <w:rPr>
          <w:rFonts w:ascii="Times New Roman" w:hAnsi="Times New Roman"/>
          <w:sz w:val="20"/>
        </w:rPr>
      </w:pPr>
      <w:r w:rsidRPr="0035212D">
        <w:rPr>
          <w:rFonts w:ascii="Times New Roman" w:hAnsi="Times New Roman"/>
          <w:sz w:val="20"/>
        </w:rPr>
        <w:t>Transmit power difference between different carriers</w:t>
      </w:r>
    </w:p>
    <w:p w14:paraId="61217623" w14:textId="77777777" w:rsidR="00EF4C0A" w:rsidRPr="0035212D" w:rsidRDefault="00EF4C0A" w:rsidP="00EF4C0A">
      <w:pPr>
        <w:pStyle w:val="ListParagraph"/>
        <w:numPr>
          <w:ilvl w:val="0"/>
          <w:numId w:val="14"/>
        </w:numPr>
        <w:spacing w:before="120" w:after="180"/>
        <w:jc w:val="both"/>
        <w:rPr>
          <w:rFonts w:ascii="Times New Roman" w:hAnsi="Times New Roman"/>
          <w:sz w:val="20"/>
        </w:rPr>
      </w:pPr>
      <w:r w:rsidRPr="0035212D">
        <w:rPr>
          <w:rFonts w:ascii="Times New Roman" w:hAnsi="Times New Roman"/>
          <w:sz w:val="20"/>
        </w:rPr>
        <w:lastRenderedPageBreak/>
        <w:t xml:space="preserve">BW and carrier frequency difference between different carriers. </w:t>
      </w:r>
    </w:p>
    <w:p w14:paraId="5BBE0B75" w14:textId="77777777" w:rsidR="00EF4C0A" w:rsidRPr="0035212D" w:rsidRDefault="00EF4C0A" w:rsidP="00EF4C0A">
      <w:pPr>
        <w:spacing w:before="120"/>
        <w:jc w:val="both"/>
        <w:rPr>
          <w:lang w:val="en-US"/>
        </w:rPr>
      </w:pPr>
      <w:r w:rsidRPr="0035212D">
        <w:rPr>
          <w:lang w:val="en-US"/>
        </w:rPr>
        <w:t xml:space="preserve">In </w:t>
      </w:r>
      <w:r>
        <w:rPr>
          <w:lang w:val="en-US"/>
        </w:rPr>
        <w:t>RAN4#109</w:t>
      </w:r>
      <w:r w:rsidRPr="0035212D">
        <w:rPr>
          <w:lang w:val="en-US"/>
        </w:rPr>
        <w:t xml:space="preserve"> meeting, RAN4 agreed to define maximum EPRE difference between reference Cell and SSB-less SCell.</w:t>
      </w:r>
      <w:r w:rsidRPr="0035212D" w:rsidDel="00444176">
        <w:rPr>
          <w:lang w:val="en-US"/>
        </w:rPr>
        <w:t xml:space="preserve"> </w:t>
      </w:r>
      <w:r w:rsidRPr="0035212D">
        <w:rPr>
          <w:lang w:val="en-US"/>
        </w:rPr>
        <w:t xml:space="preserve">Further, it was discussed that EPRE difference is based on power difference between TRS symbol on SSB-less SCell and SSB symbol on reference cell. To be more specific we think the EPRE should be defined as the power per RE at the antenna connector as averaged over the respective SSB and TRS bandwidth and then normalized to the SCS.  Since the BW of SSB and TRS can be quite different, EPRE will depend on BW and carrier frequency. Since the BW and carrier frequency is known at the UE for TRS and SSB, we think UE can compensate for the EPRE difference. </w:t>
      </w:r>
    </w:p>
    <w:p w14:paraId="24CA732E" w14:textId="66D3BBC6" w:rsidR="00EF4C0A" w:rsidRPr="005E2019" w:rsidRDefault="005E2019" w:rsidP="005E2019">
      <w:pPr>
        <w:spacing w:before="120"/>
        <w:jc w:val="both"/>
      </w:pPr>
      <w:bookmarkStart w:id="7" w:name="_Ref163308030"/>
      <w:r w:rsidRPr="00420235">
        <w:rPr>
          <w:b/>
          <w:bCs/>
          <w:iCs/>
          <w:szCs w:val="22"/>
        </w:rPr>
        <w:t xml:space="preserve">Proposal </w:t>
      </w:r>
      <w:r w:rsidRPr="00420235">
        <w:rPr>
          <w:b/>
          <w:bCs/>
          <w:iCs/>
          <w:szCs w:val="22"/>
        </w:rPr>
        <w:fldChar w:fldCharType="begin"/>
      </w:r>
      <w:r w:rsidRPr="00420235">
        <w:rPr>
          <w:b/>
          <w:bCs/>
          <w:iCs/>
          <w:szCs w:val="22"/>
        </w:rPr>
        <w:instrText xml:space="preserve"> SEQ Proposal \* ARABIC </w:instrText>
      </w:r>
      <w:r w:rsidRPr="00420235">
        <w:rPr>
          <w:b/>
          <w:bCs/>
          <w:iCs/>
          <w:szCs w:val="22"/>
        </w:rPr>
        <w:fldChar w:fldCharType="separate"/>
      </w:r>
      <w:r w:rsidR="00162388">
        <w:rPr>
          <w:b/>
          <w:bCs/>
          <w:iCs/>
          <w:noProof/>
          <w:szCs w:val="22"/>
        </w:rPr>
        <w:t>1</w:t>
      </w:r>
      <w:r w:rsidRPr="00420235">
        <w:rPr>
          <w:b/>
          <w:bCs/>
          <w:iCs/>
          <w:szCs w:val="22"/>
        </w:rPr>
        <w:fldChar w:fldCharType="end"/>
      </w:r>
      <w:r w:rsidRPr="00420235">
        <w:rPr>
          <w:b/>
          <w:bCs/>
          <w:iCs/>
          <w:szCs w:val="22"/>
        </w:rPr>
        <w:t>:</w:t>
      </w:r>
      <w:r>
        <w:rPr>
          <w:rFonts w:asciiTheme="minorHAnsi" w:hAnsiTheme="minorHAnsi" w:cstheme="minorHAnsi"/>
          <w:b/>
          <w:bCs/>
          <w:i/>
          <w:szCs w:val="22"/>
        </w:rPr>
        <w:t xml:space="preserve"> </w:t>
      </w:r>
      <w:r w:rsidR="00EF4C0A" w:rsidRPr="005E2019">
        <w:t>RAN4 to agree that the EPRE should be defined as the power per RE at the antenna connector as averaged over the respective SSB and TRS bandwidth and then normalized to the SCS.</w:t>
      </w:r>
      <w:bookmarkEnd w:id="7"/>
    </w:p>
    <w:p w14:paraId="05B15FDD" w14:textId="77777777" w:rsidR="00EF4C0A" w:rsidRPr="0035212D" w:rsidRDefault="00EF4C0A" w:rsidP="00EF4C0A">
      <w:pPr>
        <w:spacing w:before="120"/>
        <w:jc w:val="both"/>
        <w:rPr>
          <w:lang w:val="en-US"/>
        </w:rPr>
      </w:pPr>
      <w:r w:rsidRPr="0035212D">
        <w:rPr>
          <w:lang w:val="en-US"/>
        </w:rPr>
        <w:t xml:space="preserve">To simplify the side condition derivation for EPRE, we can assume same DL transmit power density for the reference cell and SSB-less SCell. With same transmit power density, even though the reference carrier and the carrier of the SSB-less SCell are co-located, there could be different propagation conditions experienced for the carriers of the reference Cell and SSB-less SCell. Due to different propagation conditions, the pathloss experienced in the reference cell and SCell can be different. In the real-world deployments, we observe that even in the same band, there could be more than 10 dB difference due to frequency selective fading. Considering that, we think it is reasonable to add additional margin to counter fast fading conditions. </w:t>
      </w:r>
    </w:p>
    <w:p w14:paraId="00B764F3" w14:textId="77777777" w:rsidR="00EF4C0A" w:rsidRPr="0035212D" w:rsidRDefault="00EF4C0A" w:rsidP="00EF4C0A">
      <w:pPr>
        <w:spacing w:before="120"/>
        <w:jc w:val="both"/>
        <w:rPr>
          <w:lang w:val="en-US"/>
        </w:rPr>
      </w:pPr>
      <w:r w:rsidRPr="0035212D">
        <w:rPr>
          <w:lang w:val="en-US"/>
        </w:rPr>
        <w:t xml:space="preserve">The side-condition on the power is the EPRE difference between the SSB-less SCell and the reference cell thus obtained. Given that carriers are collocated and the condition on the same DL transmit power density, an EPRE difference of the order of 10-12 dB appears reasonable for setting minimum requirements considering frequency selectivity across the band and the different measurement (averaging) SSB/TRS bandwidths and different measurement occasions in time.    </w:t>
      </w:r>
    </w:p>
    <w:p w14:paraId="16A87295" w14:textId="5BCCC2C3" w:rsidR="00EF4C0A" w:rsidRPr="005E2019" w:rsidRDefault="005E2019" w:rsidP="005E2019">
      <w:pPr>
        <w:spacing w:before="120"/>
        <w:jc w:val="both"/>
      </w:pPr>
      <w:bookmarkStart w:id="8" w:name="_Ref163308035"/>
      <w:r w:rsidRPr="00420235">
        <w:rPr>
          <w:b/>
          <w:bCs/>
          <w:iCs/>
          <w:szCs w:val="22"/>
        </w:rPr>
        <w:t xml:space="preserve">Proposal </w:t>
      </w:r>
      <w:r w:rsidRPr="00420235">
        <w:rPr>
          <w:b/>
          <w:bCs/>
          <w:iCs/>
          <w:szCs w:val="22"/>
        </w:rPr>
        <w:fldChar w:fldCharType="begin"/>
      </w:r>
      <w:r w:rsidRPr="00420235">
        <w:rPr>
          <w:b/>
          <w:bCs/>
          <w:iCs/>
          <w:szCs w:val="22"/>
        </w:rPr>
        <w:instrText xml:space="preserve"> SEQ Proposal \* ARABIC </w:instrText>
      </w:r>
      <w:r w:rsidRPr="00420235">
        <w:rPr>
          <w:b/>
          <w:bCs/>
          <w:iCs/>
          <w:szCs w:val="22"/>
        </w:rPr>
        <w:fldChar w:fldCharType="separate"/>
      </w:r>
      <w:r w:rsidR="00162388">
        <w:rPr>
          <w:b/>
          <w:bCs/>
          <w:iCs/>
          <w:noProof/>
          <w:szCs w:val="22"/>
        </w:rPr>
        <w:t>2</w:t>
      </w:r>
      <w:r w:rsidRPr="00420235">
        <w:rPr>
          <w:b/>
          <w:bCs/>
          <w:iCs/>
          <w:szCs w:val="22"/>
        </w:rPr>
        <w:fldChar w:fldCharType="end"/>
      </w:r>
      <w:r w:rsidRPr="00420235">
        <w:rPr>
          <w:b/>
          <w:bCs/>
          <w:iCs/>
          <w:szCs w:val="22"/>
        </w:rPr>
        <w:t>:</w:t>
      </w:r>
      <w:r>
        <w:rPr>
          <w:rFonts w:asciiTheme="minorHAnsi" w:hAnsiTheme="minorHAnsi" w:cstheme="minorHAnsi"/>
          <w:b/>
          <w:bCs/>
          <w:i/>
          <w:szCs w:val="22"/>
        </w:rPr>
        <w:t xml:space="preserve"> </w:t>
      </w:r>
      <w:r w:rsidR="00EF4C0A" w:rsidRPr="005E2019">
        <w:t>RAN4 to agree that EPRE side condition for reference cell and SSB-less SCell as [12 dB].</w:t>
      </w:r>
      <w:bookmarkEnd w:id="8"/>
    </w:p>
    <w:p w14:paraId="5740695D" w14:textId="77777777" w:rsidR="00EF4C0A" w:rsidRPr="0035212D" w:rsidRDefault="00EF4C0A" w:rsidP="00EF4C0A">
      <w:pPr>
        <w:pStyle w:val="ListParagraph"/>
        <w:ind w:left="360"/>
        <w:rPr>
          <w:rFonts w:ascii="Times New Roman" w:hAnsi="Times New Roman"/>
          <w:sz w:val="20"/>
        </w:rPr>
      </w:pPr>
    </w:p>
    <w:p w14:paraId="5D16F2B5" w14:textId="77777777" w:rsidR="00EF4C0A" w:rsidRPr="006A0593" w:rsidRDefault="00EF4C0A" w:rsidP="00EF4C0A">
      <w:pPr>
        <w:spacing w:before="120"/>
        <w:jc w:val="both"/>
        <w:rPr>
          <w:b/>
          <w:bCs/>
          <w:u w:val="single"/>
        </w:rPr>
      </w:pPr>
      <w:r w:rsidRPr="006A0593">
        <w:rPr>
          <w:b/>
          <w:bCs/>
          <w:u w:val="single"/>
        </w:rPr>
        <w:t>QCL indication and default Cell</w:t>
      </w:r>
    </w:p>
    <w:p w14:paraId="5469EAB6" w14:textId="77777777" w:rsidR="00EF4C0A" w:rsidRPr="0035212D" w:rsidRDefault="00EF4C0A" w:rsidP="00EF4C0A">
      <w:r>
        <w:t xml:space="preserve">In last meeting there were proposals that we should not assume that multiple QCL type-C source cells can be configured and if configured NW shall always indicate the reference cell. However, we already agreed that there can be default cell assumption and we would like to point that it is already specified in the RAN2 spec. If there is only one cell that can be active, we are not sure, why do we need the default cell assumption. Considering it is already agreed </w:t>
      </w:r>
      <w:proofErr w:type="gramStart"/>
      <w:r>
        <w:t>and also</w:t>
      </w:r>
      <w:proofErr w:type="gramEnd"/>
      <w:r>
        <w:t xml:space="preserve"> implemented in RAN2 spec, we suggest defining default cell rule.  </w:t>
      </w:r>
    </w:p>
    <w:p w14:paraId="3B6DD820" w14:textId="77777777" w:rsidR="005E2019" w:rsidRDefault="00EF4C0A" w:rsidP="005E2019">
      <w:r w:rsidRPr="0035212D">
        <w:t>If NW does not provide a reference cell, while multiple cells are provided as QCL sources, we think UE should select the cell with best signal quality as the default reference cell. Though, other cells are active, we think selecting a cell with best signal quality should work better as multiple QCL type-C can be provided only when all have same delay spread characteristics and since reference cell is used for AGC and reference time calculation, cell with RSRP should work better.</w:t>
      </w:r>
    </w:p>
    <w:p w14:paraId="3FE2CFC5" w14:textId="20302F0E" w:rsidR="00EF4C0A" w:rsidRPr="00EF4C0A" w:rsidRDefault="005E2019" w:rsidP="005E2019">
      <w:pPr>
        <w:rPr>
          <w:sz w:val="36"/>
        </w:rPr>
      </w:pPr>
      <w:bookmarkStart w:id="9" w:name="_Ref163308042"/>
      <w:r w:rsidRPr="00420235">
        <w:rPr>
          <w:b/>
          <w:bCs/>
          <w:iCs/>
          <w:szCs w:val="22"/>
        </w:rPr>
        <w:t xml:space="preserve">Proposal </w:t>
      </w:r>
      <w:r w:rsidRPr="00420235">
        <w:rPr>
          <w:b/>
          <w:bCs/>
          <w:iCs/>
          <w:szCs w:val="22"/>
        </w:rPr>
        <w:fldChar w:fldCharType="begin"/>
      </w:r>
      <w:r w:rsidRPr="00420235">
        <w:rPr>
          <w:b/>
          <w:bCs/>
          <w:iCs/>
          <w:szCs w:val="22"/>
        </w:rPr>
        <w:instrText xml:space="preserve"> SEQ Proposal \* ARABIC </w:instrText>
      </w:r>
      <w:r w:rsidRPr="00420235">
        <w:rPr>
          <w:b/>
          <w:bCs/>
          <w:iCs/>
          <w:szCs w:val="22"/>
        </w:rPr>
        <w:fldChar w:fldCharType="separate"/>
      </w:r>
      <w:r w:rsidR="00162388">
        <w:rPr>
          <w:b/>
          <w:bCs/>
          <w:iCs/>
          <w:noProof/>
          <w:szCs w:val="22"/>
        </w:rPr>
        <w:t>3</w:t>
      </w:r>
      <w:r w:rsidRPr="00420235">
        <w:rPr>
          <w:b/>
          <w:bCs/>
          <w:iCs/>
          <w:szCs w:val="22"/>
        </w:rPr>
        <w:fldChar w:fldCharType="end"/>
      </w:r>
      <w:r w:rsidRPr="00420235">
        <w:rPr>
          <w:b/>
          <w:bCs/>
          <w:iCs/>
          <w:szCs w:val="22"/>
        </w:rPr>
        <w:t>:</w:t>
      </w:r>
      <w:r>
        <w:rPr>
          <w:rFonts w:asciiTheme="minorHAnsi" w:hAnsiTheme="minorHAnsi" w:cstheme="minorHAnsi"/>
          <w:b/>
          <w:bCs/>
          <w:i/>
          <w:szCs w:val="22"/>
        </w:rPr>
        <w:t xml:space="preserve"> </w:t>
      </w:r>
      <w:r w:rsidR="00EF4C0A" w:rsidRPr="0035212D">
        <w:t>When a reference cell indication is not provided by the NW and multiple QCL type-C source cells are active, UE shall select the cell which has highest signal quality such as L1/L3-RSRP as default cell.</w:t>
      </w:r>
      <w:bookmarkEnd w:id="9"/>
    </w:p>
    <w:p w14:paraId="78F8F802" w14:textId="6A970D36" w:rsidR="00F9290B" w:rsidRDefault="00D31CD9" w:rsidP="00F9290B">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5F55AF">
        <w:rPr>
          <w:sz w:val="36"/>
        </w:rPr>
        <w:t>CHO</w:t>
      </w:r>
    </w:p>
    <w:p w14:paraId="1009B3CE" w14:textId="504F0F80" w:rsidR="004E79DE" w:rsidRDefault="004209A9" w:rsidP="004209A9">
      <w:pPr>
        <w:rPr>
          <w:rFonts w:eastAsia="Times New Roman"/>
          <w:b/>
          <w:bCs/>
          <w:u w:val="single"/>
        </w:rPr>
      </w:pPr>
      <w:r w:rsidRPr="004209A9">
        <w:rPr>
          <w:rFonts w:eastAsia="Times New Roman"/>
          <w:b/>
          <w:bCs/>
          <w:u w:val="single"/>
        </w:rPr>
        <w:t>Measurement behaviour</w:t>
      </w:r>
    </w:p>
    <w:p w14:paraId="6BF20C2F" w14:textId="6160B893" w:rsidR="00CC2F7A" w:rsidRDefault="00CC2F7A" w:rsidP="004209A9">
      <w:pPr>
        <w:rPr>
          <w:rFonts w:eastAsia="Times New Roman"/>
        </w:rPr>
      </w:pPr>
      <w:r w:rsidRPr="00CC2F7A">
        <w:rPr>
          <w:rFonts w:eastAsia="Times New Roman"/>
        </w:rPr>
        <w:t>One of the open issues for NES-based CHO is the measurement behaviour when NW trigger the NES CHO.</w:t>
      </w:r>
    </w:p>
    <w:tbl>
      <w:tblPr>
        <w:tblStyle w:val="TableGrid"/>
        <w:tblW w:w="0" w:type="auto"/>
        <w:tblLook w:val="04A0" w:firstRow="1" w:lastRow="0" w:firstColumn="1" w:lastColumn="0" w:noHBand="0" w:noVBand="1"/>
      </w:tblPr>
      <w:tblGrid>
        <w:gridCol w:w="9629"/>
      </w:tblGrid>
      <w:tr w:rsidR="009F5EAA" w14:paraId="2B828099" w14:textId="77777777" w:rsidTr="009F5EAA">
        <w:tc>
          <w:tcPr>
            <w:tcW w:w="9629" w:type="dxa"/>
          </w:tcPr>
          <w:p w14:paraId="585A9C20" w14:textId="77777777" w:rsidR="009F5EAA" w:rsidRPr="009F5EAA" w:rsidRDefault="009F5EAA" w:rsidP="009F5EAA">
            <w:pPr>
              <w:spacing w:after="0"/>
              <w:rPr>
                <w:rFonts w:eastAsia="Times New Roman"/>
                <w:lang w:eastAsia="zh-CN"/>
              </w:rPr>
            </w:pPr>
            <w:r w:rsidRPr="009F5EAA">
              <w:rPr>
                <w:rFonts w:eastAsia="Times New Roman"/>
                <w:b/>
                <w:bCs/>
                <w:u w:val="single"/>
                <w:lang w:eastAsia="zh-CN"/>
              </w:rPr>
              <w:t>Issue 2-3-3 Measurement behaviour</w:t>
            </w:r>
          </w:p>
          <w:p w14:paraId="272453DD" w14:textId="77777777" w:rsidR="009F5EAA" w:rsidRPr="009F5EAA" w:rsidRDefault="009F5EAA" w:rsidP="009F5EAA">
            <w:pPr>
              <w:numPr>
                <w:ilvl w:val="0"/>
                <w:numId w:val="12"/>
              </w:numPr>
              <w:spacing w:after="0"/>
              <w:ind w:left="360"/>
              <w:textAlignment w:val="center"/>
              <w:rPr>
                <w:rFonts w:ascii="Calibri" w:eastAsia="Times New Roman" w:hAnsi="Calibri" w:cs="Calibri"/>
                <w:sz w:val="22"/>
                <w:szCs w:val="22"/>
                <w:lang w:eastAsia="zh-CN"/>
              </w:rPr>
            </w:pPr>
            <w:r w:rsidRPr="009F5EAA">
              <w:rPr>
                <w:rFonts w:eastAsia="Times New Roman"/>
                <w:lang w:eastAsia="zh-CN"/>
              </w:rPr>
              <w:t>Proposals</w:t>
            </w:r>
          </w:p>
          <w:p w14:paraId="37B20FC4" w14:textId="77777777" w:rsidR="009F5EAA" w:rsidRPr="009F5EAA" w:rsidRDefault="009F5EAA" w:rsidP="009F5EAA">
            <w:pPr>
              <w:numPr>
                <w:ilvl w:val="1"/>
                <w:numId w:val="12"/>
              </w:numPr>
              <w:spacing w:after="0"/>
              <w:ind w:left="1080"/>
              <w:textAlignment w:val="center"/>
              <w:rPr>
                <w:rFonts w:ascii="Calibri" w:eastAsia="Times New Roman" w:hAnsi="Calibri" w:cs="Calibri"/>
                <w:sz w:val="22"/>
                <w:szCs w:val="22"/>
                <w:lang w:eastAsia="zh-CN"/>
              </w:rPr>
            </w:pPr>
            <w:r w:rsidRPr="009F5EAA">
              <w:rPr>
                <w:rFonts w:eastAsia="Times New Roman"/>
                <w:lang w:eastAsia="zh-CN"/>
              </w:rPr>
              <w:t>Option 1: (Ericsson)</w:t>
            </w:r>
          </w:p>
          <w:p w14:paraId="45139ACF" w14:textId="77777777" w:rsidR="009F5EAA" w:rsidRPr="009F5EAA" w:rsidRDefault="009F5EAA" w:rsidP="009F5EAA">
            <w:pPr>
              <w:numPr>
                <w:ilvl w:val="2"/>
                <w:numId w:val="12"/>
              </w:numPr>
              <w:spacing w:after="0"/>
              <w:ind w:left="1800"/>
              <w:textAlignment w:val="center"/>
              <w:rPr>
                <w:rFonts w:ascii="Calibri" w:eastAsia="Times New Roman" w:hAnsi="Calibri" w:cs="Calibri"/>
                <w:sz w:val="22"/>
                <w:szCs w:val="22"/>
                <w:lang w:eastAsia="zh-CN"/>
              </w:rPr>
            </w:pPr>
            <w:r w:rsidRPr="009F5EAA">
              <w:rPr>
                <w:rFonts w:eastAsia="Times New Roman"/>
                <w:lang w:eastAsia="zh-CN"/>
              </w:rPr>
              <w:t>When NES CHO condition is met before the DCI indication, UE shall execute the handover immediately after receiving the DCI indication.</w:t>
            </w:r>
          </w:p>
          <w:p w14:paraId="3032E4DB" w14:textId="65ED6C00" w:rsidR="009F5EAA" w:rsidRDefault="009F5EAA" w:rsidP="009F5EAA">
            <w:pPr>
              <w:numPr>
                <w:ilvl w:val="2"/>
                <w:numId w:val="12"/>
              </w:numPr>
              <w:spacing w:after="0"/>
              <w:ind w:left="1800"/>
              <w:textAlignment w:val="center"/>
              <w:rPr>
                <w:rFonts w:eastAsia="Times New Roman"/>
              </w:rPr>
            </w:pPr>
            <w:r w:rsidRPr="009F5EAA">
              <w:rPr>
                <w:rFonts w:eastAsia="Times New Roman"/>
                <w:lang w:eastAsia="zh-CN"/>
              </w:rPr>
              <w:t>When NES CHO condition is met after the DCI indication, UE shall perform measurement based on SMTC only regardless of the network’s configuration.</w:t>
            </w:r>
          </w:p>
        </w:tc>
      </w:tr>
    </w:tbl>
    <w:p w14:paraId="600EF008" w14:textId="1BAA81E4" w:rsidR="006C6F25" w:rsidRDefault="00B71F31" w:rsidP="009F5EAA">
      <w:pPr>
        <w:spacing w:before="120"/>
        <w:jc w:val="both"/>
        <w:rPr>
          <w:lang w:eastAsia="zh-CN"/>
        </w:rPr>
      </w:pPr>
      <w:r>
        <w:rPr>
          <w:rFonts w:eastAsia="Times New Roman"/>
        </w:rPr>
        <w:lastRenderedPageBreak/>
        <w:t>As RAN2 concluded, t</w:t>
      </w:r>
      <w:r w:rsidRPr="00877B3D">
        <w:rPr>
          <w:rFonts w:eastAsia="Times New Roman"/>
        </w:rPr>
        <w:t xml:space="preserve">he </w:t>
      </w:r>
      <w:r>
        <w:rPr>
          <w:rFonts w:eastAsia="Times New Roman"/>
        </w:rPr>
        <w:t xml:space="preserve">main </w:t>
      </w:r>
      <w:r w:rsidRPr="00877B3D">
        <w:rPr>
          <w:rFonts w:eastAsia="Times New Roman"/>
        </w:rPr>
        <w:t>motivation of CHO enhancement based on source cell NES mode is to</w:t>
      </w:r>
      <w:r>
        <w:t xml:space="preserve"> </w:t>
      </w:r>
      <w:r>
        <w:rPr>
          <w:lang w:eastAsia="zh-CN"/>
        </w:rPr>
        <w:t>allow the source cell to enter NES mode faster via a group of UEs executing CHO to another cell simultaneously.</w:t>
      </w:r>
      <w:r w:rsidR="006C6F25">
        <w:rPr>
          <w:lang w:eastAsia="zh-CN"/>
        </w:rPr>
        <w:t xml:space="preserve"> In RAN2</w:t>
      </w:r>
      <w:r w:rsidR="00577060">
        <w:rPr>
          <w:lang w:eastAsia="zh-CN"/>
        </w:rPr>
        <w:t>’s agreement,</w:t>
      </w:r>
      <w:r w:rsidR="006C6F25">
        <w:rPr>
          <w:lang w:eastAsia="zh-CN"/>
        </w:rPr>
        <w:t xml:space="preserve"> </w:t>
      </w:r>
      <w:r w:rsidR="00577060">
        <w:rPr>
          <w:lang w:eastAsia="zh-CN"/>
        </w:rPr>
        <w:t>the</w:t>
      </w:r>
      <w:r w:rsidR="006C6F25">
        <w:rPr>
          <w:lang w:eastAsia="zh-CN"/>
        </w:rPr>
        <w:t xml:space="preserve"> cell switch off is a valid scenario to trigger the NES-based CHO.</w:t>
      </w:r>
    </w:p>
    <w:tbl>
      <w:tblPr>
        <w:tblStyle w:val="TableGrid"/>
        <w:tblW w:w="0" w:type="auto"/>
        <w:tblLook w:val="04A0" w:firstRow="1" w:lastRow="0" w:firstColumn="1" w:lastColumn="0" w:noHBand="0" w:noVBand="1"/>
      </w:tblPr>
      <w:tblGrid>
        <w:gridCol w:w="9016"/>
      </w:tblGrid>
      <w:tr w:rsidR="00577060" w:rsidRPr="004545FA" w14:paraId="0367B407" w14:textId="77777777" w:rsidTr="00277E57">
        <w:tc>
          <w:tcPr>
            <w:tcW w:w="9016" w:type="dxa"/>
          </w:tcPr>
          <w:p w14:paraId="6086E217" w14:textId="77777777" w:rsidR="00577060" w:rsidRPr="004545FA" w:rsidRDefault="00577060" w:rsidP="00277E57">
            <w:pPr>
              <w:pStyle w:val="doc-text20"/>
              <w:spacing w:before="0" w:beforeAutospacing="0" w:after="0" w:afterAutospacing="0"/>
              <w:ind w:left="363" w:hanging="363"/>
              <w:rPr>
                <w:rFonts w:ascii="Arial" w:hAnsi="Arial" w:cs="Arial"/>
                <w:sz w:val="20"/>
                <w:szCs w:val="20"/>
              </w:rPr>
            </w:pPr>
            <w:r w:rsidRPr="004545FA">
              <w:rPr>
                <w:rFonts w:ascii="Arial" w:hAnsi="Arial" w:cs="Arial"/>
                <w:b/>
                <w:bCs/>
                <w:sz w:val="20"/>
                <w:szCs w:val="20"/>
                <w:lang w:val="en-GB"/>
              </w:rPr>
              <w:t>Agreements </w:t>
            </w:r>
          </w:p>
          <w:p w14:paraId="5CFA24EE" w14:textId="04FECD39" w:rsidR="00577060" w:rsidRPr="004545FA" w:rsidRDefault="00577060" w:rsidP="00577060">
            <w:r w:rsidRPr="004545FA">
              <w:rPr>
                <w:rFonts w:ascii="Arial" w:eastAsia="Times New Roman" w:hAnsi="Arial" w:cs="Arial"/>
              </w:rPr>
              <w:t>1    We will support the CHO triggers for the use case of turning off the cell </w:t>
            </w:r>
          </w:p>
        </w:tc>
      </w:tr>
    </w:tbl>
    <w:p w14:paraId="5C164934" w14:textId="13DCABE3" w:rsidR="001A2DFD" w:rsidRDefault="001A2DFD" w:rsidP="009F5EAA">
      <w:pPr>
        <w:spacing w:before="120"/>
        <w:jc w:val="both"/>
        <w:rPr>
          <w:lang w:eastAsia="zh-CN"/>
        </w:rPr>
      </w:pPr>
      <w:r w:rsidRPr="000B3663">
        <w:rPr>
          <w:b/>
          <w:bCs/>
          <w:i/>
          <w:iCs/>
        </w:rPr>
        <w:t xml:space="preserve">Observation </w:t>
      </w:r>
      <w:r w:rsidRPr="000B3663">
        <w:rPr>
          <w:b/>
          <w:bCs/>
          <w:i/>
          <w:iCs/>
        </w:rPr>
        <w:fldChar w:fldCharType="begin"/>
      </w:r>
      <w:r w:rsidRPr="000B3663">
        <w:rPr>
          <w:b/>
          <w:bCs/>
          <w:i/>
          <w:iCs/>
        </w:rPr>
        <w:instrText xml:space="preserve"> SEQ Observation \* ARABIC </w:instrText>
      </w:r>
      <w:r w:rsidRPr="000B3663">
        <w:rPr>
          <w:b/>
          <w:bCs/>
          <w:i/>
          <w:iCs/>
        </w:rPr>
        <w:fldChar w:fldCharType="separate"/>
      </w:r>
      <w:r w:rsidR="00162388">
        <w:rPr>
          <w:b/>
          <w:bCs/>
          <w:i/>
          <w:iCs/>
          <w:noProof/>
        </w:rPr>
        <w:t>1</w:t>
      </w:r>
      <w:r w:rsidRPr="000B3663">
        <w:rPr>
          <w:b/>
          <w:bCs/>
          <w:i/>
          <w:iCs/>
        </w:rPr>
        <w:fldChar w:fldCharType="end"/>
      </w:r>
      <w:r w:rsidRPr="000B3663">
        <w:rPr>
          <w:b/>
          <w:bCs/>
          <w:i/>
          <w:iCs/>
        </w:rPr>
        <w:t>:</w:t>
      </w:r>
      <w:r>
        <w:rPr>
          <w:b/>
          <w:bCs/>
          <w:i/>
          <w:iCs/>
        </w:rPr>
        <w:t xml:space="preserve"> Cell switching off is a valid scenario based on RAN2 agreements.</w:t>
      </w:r>
    </w:p>
    <w:p w14:paraId="6EDF29DE" w14:textId="237C22E5" w:rsidR="00FD7825" w:rsidRDefault="000E0B46" w:rsidP="009F5EAA">
      <w:pPr>
        <w:spacing w:before="120"/>
        <w:jc w:val="both"/>
        <w:rPr>
          <w:lang w:eastAsia="zh-CN"/>
        </w:rPr>
      </w:pPr>
      <w:r>
        <w:rPr>
          <w:lang w:eastAsia="zh-CN"/>
        </w:rPr>
        <w:t>When NW indicates the DCI to trigger the NES-based CHO, d</w:t>
      </w:r>
      <w:r w:rsidR="00472A37">
        <w:rPr>
          <w:lang w:eastAsia="zh-CN"/>
        </w:rPr>
        <w:t>ifferent UEs may have different measurement evaluation period due to different configuration</w:t>
      </w:r>
      <w:r>
        <w:rPr>
          <w:lang w:eastAsia="zh-CN"/>
        </w:rPr>
        <w:t xml:space="preserve">. For example, if UE1 has non DRX configuration, it may </w:t>
      </w:r>
      <w:r w:rsidR="002B0C1D">
        <w:rPr>
          <w:lang w:eastAsia="zh-CN"/>
        </w:rPr>
        <w:t xml:space="preserve">perform measurement </w:t>
      </w:r>
      <w:r w:rsidR="006A4A34">
        <w:rPr>
          <w:lang w:eastAsia="zh-CN"/>
        </w:rPr>
        <w:t xml:space="preserve">for </w:t>
      </w:r>
      <w:r w:rsidR="00E47F62">
        <w:rPr>
          <w:lang w:eastAsia="zh-CN"/>
        </w:rPr>
        <w:t xml:space="preserve">about 300ms, but if UE2 is configured with DRX cycles, such as &gt;=320ms, </w:t>
      </w:r>
      <w:r w:rsidR="00B13472">
        <w:rPr>
          <w:lang w:eastAsia="zh-CN"/>
        </w:rPr>
        <w:t>UE2’s measurement period may exceed 10s.</w:t>
      </w:r>
      <w:r w:rsidR="00B35EAD">
        <w:rPr>
          <w:lang w:eastAsia="zh-CN"/>
        </w:rPr>
        <w:t xml:space="preserve"> </w:t>
      </w:r>
      <w:r w:rsidR="00B13472">
        <w:rPr>
          <w:lang w:eastAsia="zh-CN"/>
        </w:rPr>
        <w:t xml:space="preserve">However, serving cell will switch off at </w:t>
      </w:r>
      <w:r w:rsidR="00B35EAD">
        <w:rPr>
          <w:lang w:eastAsia="zh-CN"/>
        </w:rPr>
        <w:t xml:space="preserve">a planned time point based on NW’s </w:t>
      </w:r>
      <w:r w:rsidR="006360D4">
        <w:rPr>
          <w:lang w:eastAsia="zh-CN"/>
        </w:rPr>
        <w:t>algorithm which means some UEs can succe</w:t>
      </w:r>
      <w:r w:rsidR="00D95DDF">
        <w:rPr>
          <w:lang w:eastAsia="zh-CN"/>
        </w:rPr>
        <w:t xml:space="preserve">ssfully handover to target cell, but some UEs will have handover failure </w:t>
      </w:r>
      <w:r w:rsidR="006360D4">
        <w:rPr>
          <w:lang w:eastAsia="zh-CN"/>
        </w:rPr>
        <w:t>even if NW configures the same threshold and DCI trigger at the same time.</w:t>
      </w:r>
      <w:r w:rsidR="002B0C1D">
        <w:rPr>
          <w:lang w:eastAsia="zh-CN"/>
        </w:rPr>
        <w:t xml:space="preserve"> </w:t>
      </w:r>
    </w:p>
    <w:p w14:paraId="6A6991B9" w14:textId="5CCF9ECB" w:rsidR="006C6F25" w:rsidRDefault="00FD7825" w:rsidP="00FD7825">
      <w:pPr>
        <w:jc w:val="center"/>
        <w:rPr>
          <w:b/>
          <w:bCs/>
          <w:i/>
          <w:iCs/>
        </w:rPr>
      </w:pPr>
      <w:r w:rsidRPr="000B3663">
        <w:rPr>
          <w:b/>
          <w:bCs/>
          <w:i/>
          <w:iCs/>
          <w:noProof/>
        </w:rPr>
        <w:drawing>
          <wp:inline distT="0" distB="0" distL="0" distR="0" wp14:anchorId="7BE6B436" wp14:editId="7F362FAB">
            <wp:extent cx="4864243" cy="14441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4249" cy="1450059"/>
                    </a:xfrm>
                    <a:prstGeom prst="rect">
                      <a:avLst/>
                    </a:prstGeom>
                    <a:noFill/>
                  </pic:spPr>
                </pic:pic>
              </a:graphicData>
            </a:graphic>
          </wp:inline>
        </w:drawing>
      </w:r>
    </w:p>
    <w:p w14:paraId="75C3A4C0" w14:textId="6A0512A8" w:rsidR="004209A9" w:rsidRPr="000B3663" w:rsidRDefault="004209A9" w:rsidP="004209A9">
      <w:pPr>
        <w:pStyle w:val="Caption"/>
        <w:jc w:val="center"/>
        <w:rPr>
          <w:b/>
          <w:bCs/>
          <w:i w:val="0"/>
          <w:iCs w:val="0"/>
        </w:rPr>
      </w:pPr>
      <w:r w:rsidRPr="00BF53FE">
        <w:rPr>
          <w:i w:val="0"/>
          <w:iCs w:val="0"/>
          <w:color w:val="auto"/>
          <w:sz w:val="20"/>
          <w:szCs w:val="20"/>
        </w:rPr>
        <w:t xml:space="preserve">Figure </w:t>
      </w:r>
      <w:r w:rsidRPr="00BF53FE">
        <w:rPr>
          <w:i w:val="0"/>
          <w:iCs w:val="0"/>
          <w:color w:val="auto"/>
          <w:sz w:val="20"/>
          <w:szCs w:val="20"/>
        </w:rPr>
        <w:fldChar w:fldCharType="begin"/>
      </w:r>
      <w:r w:rsidRPr="00BF53FE">
        <w:rPr>
          <w:i w:val="0"/>
          <w:iCs w:val="0"/>
          <w:color w:val="auto"/>
          <w:sz w:val="20"/>
          <w:szCs w:val="20"/>
        </w:rPr>
        <w:instrText xml:space="preserve"> SEQ Figure \* ARABIC </w:instrText>
      </w:r>
      <w:r w:rsidRPr="00BF53FE">
        <w:rPr>
          <w:i w:val="0"/>
          <w:iCs w:val="0"/>
          <w:color w:val="auto"/>
          <w:sz w:val="20"/>
          <w:szCs w:val="20"/>
        </w:rPr>
        <w:fldChar w:fldCharType="separate"/>
      </w:r>
      <w:r w:rsidR="00162388">
        <w:rPr>
          <w:i w:val="0"/>
          <w:iCs w:val="0"/>
          <w:noProof/>
          <w:color w:val="auto"/>
          <w:sz w:val="20"/>
          <w:szCs w:val="20"/>
        </w:rPr>
        <w:t>1</w:t>
      </w:r>
      <w:r w:rsidRPr="00BF53FE">
        <w:rPr>
          <w:i w:val="0"/>
          <w:iCs w:val="0"/>
          <w:color w:val="auto"/>
          <w:sz w:val="20"/>
          <w:szCs w:val="20"/>
        </w:rPr>
        <w:fldChar w:fldCharType="end"/>
      </w:r>
      <w:r w:rsidRPr="00BF53FE">
        <w:rPr>
          <w:i w:val="0"/>
          <w:iCs w:val="0"/>
          <w:color w:val="auto"/>
          <w:sz w:val="20"/>
          <w:szCs w:val="20"/>
        </w:rPr>
        <w:t xml:space="preserve">. </w:t>
      </w:r>
      <w:r>
        <w:rPr>
          <w:i w:val="0"/>
          <w:iCs w:val="0"/>
          <w:color w:val="auto"/>
          <w:sz w:val="20"/>
          <w:szCs w:val="20"/>
        </w:rPr>
        <w:t>NES-based</w:t>
      </w:r>
      <w:r w:rsidRPr="00BF53FE">
        <w:rPr>
          <w:i w:val="0"/>
          <w:iCs w:val="0"/>
          <w:color w:val="auto"/>
          <w:sz w:val="20"/>
          <w:szCs w:val="20"/>
        </w:rPr>
        <w:t xml:space="preserve"> CHO </w:t>
      </w:r>
      <w:r>
        <w:rPr>
          <w:i w:val="0"/>
          <w:iCs w:val="0"/>
          <w:color w:val="auto"/>
          <w:sz w:val="20"/>
          <w:szCs w:val="20"/>
        </w:rPr>
        <w:t>timeline to different UEs</w:t>
      </w:r>
    </w:p>
    <w:p w14:paraId="79CEEB35" w14:textId="5C6351A1" w:rsidR="00D95DDF" w:rsidRPr="000B3663" w:rsidRDefault="00657A29" w:rsidP="00657A29">
      <w:pPr>
        <w:pStyle w:val="Caption"/>
        <w:rPr>
          <w:b/>
          <w:bCs/>
          <w:color w:val="auto"/>
          <w:sz w:val="20"/>
          <w:szCs w:val="20"/>
        </w:rPr>
      </w:pPr>
      <w:r w:rsidRPr="000B3663">
        <w:rPr>
          <w:b/>
          <w:bCs/>
          <w:color w:val="auto"/>
          <w:sz w:val="20"/>
          <w:szCs w:val="20"/>
        </w:rPr>
        <w:t xml:space="preserve">Observation </w:t>
      </w:r>
      <w:r w:rsidRPr="000B3663">
        <w:rPr>
          <w:b/>
          <w:bCs/>
          <w:color w:val="auto"/>
          <w:sz w:val="20"/>
          <w:szCs w:val="20"/>
        </w:rPr>
        <w:fldChar w:fldCharType="begin"/>
      </w:r>
      <w:r w:rsidRPr="000B3663">
        <w:rPr>
          <w:b/>
          <w:bCs/>
          <w:color w:val="auto"/>
          <w:sz w:val="20"/>
          <w:szCs w:val="20"/>
        </w:rPr>
        <w:instrText xml:space="preserve"> SEQ Observation \* ARABIC </w:instrText>
      </w:r>
      <w:r w:rsidRPr="000B3663">
        <w:rPr>
          <w:b/>
          <w:bCs/>
          <w:color w:val="auto"/>
          <w:sz w:val="20"/>
          <w:szCs w:val="20"/>
        </w:rPr>
        <w:fldChar w:fldCharType="separate"/>
      </w:r>
      <w:r w:rsidR="00162388">
        <w:rPr>
          <w:b/>
          <w:bCs/>
          <w:noProof/>
          <w:color w:val="auto"/>
          <w:sz w:val="20"/>
          <w:szCs w:val="20"/>
        </w:rPr>
        <w:t>2</w:t>
      </w:r>
      <w:r w:rsidRPr="000B3663">
        <w:rPr>
          <w:b/>
          <w:bCs/>
          <w:color w:val="auto"/>
          <w:sz w:val="20"/>
          <w:szCs w:val="20"/>
        </w:rPr>
        <w:fldChar w:fldCharType="end"/>
      </w:r>
      <w:r w:rsidRPr="000B3663">
        <w:rPr>
          <w:b/>
          <w:bCs/>
          <w:color w:val="auto"/>
          <w:sz w:val="20"/>
          <w:szCs w:val="20"/>
        </w:rPr>
        <w:t>: Different UEs may have different measurement evaluation period, but NW will switch off the cell at a planned time point.</w:t>
      </w:r>
    </w:p>
    <w:p w14:paraId="3D462846" w14:textId="7B6F0F3E" w:rsidR="00657A29" w:rsidRPr="000B3663" w:rsidRDefault="00657A29" w:rsidP="00657A29">
      <w:pPr>
        <w:rPr>
          <w:b/>
          <w:bCs/>
          <w:i/>
          <w:iCs/>
          <w:lang w:eastAsia="zh-CN"/>
        </w:rPr>
      </w:pPr>
      <w:r w:rsidRPr="000B3663">
        <w:rPr>
          <w:b/>
          <w:bCs/>
          <w:i/>
          <w:iCs/>
        </w:rPr>
        <w:t xml:space="preserve">Observation </w:t>
      </w:r>
      <w:r w:rsidRPr="000B3663">
        <w:rPr>
          <w:b/>
          <w:bCs/>
          <w:i/>
          <w:iCs/>
        </w:rPr>
        <w:fldChar w:fldCharType="begin"/>
      </w:r>
      <w:r w:rsidRPr="000B3663">
        <w:rPr>
          <w:b/>
          <w:bCs/>
          <w:i/>
          <w:iCs/>
        </w:rPr>
        <w:instrText xml:space="preserve"> SEQ Observation \* ARABIC </w:instrText>
      </w:r>
      <w:r w:rsidRPr="000B3663">
        <w:rPr>
          <w:b/>
          <w:bCs/>
          <w:i/>
          <w:iCs/>
        </w:rPr>
        <w:fldChar w:fldCharType="separate"/>
      </w:r>
      <w:r w:rsidR="00162388">
        <w:rPr>
          <w:b/>
          <w:bCs/>
          <w:i/>
          <w:iCs/>
          <w:noProof/>
        </w:rPr>
        <w:t>3</w:t>
      </w:r>
      <w:r w:rsidRPr="000B3663">
        <w:rPr>
          <w:b/>
          <w:bCs/>
          <w:i/>
          <w:iCs/>
        </w:rPr>
        <w:fldChar w:fldCharType="end"/>
      </w:r>
      <w:r w:rsidRPr="000B3663">
        <w:rPr>
          <w:b/>
          <w:bCs/>
          <w:i/>
          <w:iCs/>
        </w:rPr>
        <w:t xml:space="preserve">: UE doesn’t know when </w:t>
      </w:r>
      <w:r w:rsidR="000B3663" w:rsidRPr="000B3663">
        <w:rPr>
          <w:b/>
          <w:bCs/>
          <w:i/>
          <w:iCs/>
        </w:rPr>
        <w:t>NW will switch off the cell.</w:t>
      </w:r>
    </w:p>
    <w:p w14:paraId="389E54E9" w14:textId="35F0265C" w:rsidR="000B3663" w:rsidRDefault="000B3663" w:rsidP="00B71F31">
      <w:pPr>
        <w:jc w:val="both"/>
        <w:rPr>
          <w:lang w:eastAsia="zh-CN"/>
        </w:rPr>
      </w:pPr>
      <w:r>
        <w:rPr>
          <w:lang w:eastAsia="zh-CN"/>
        </w:rPr>
        <w:t>In our understanding, to avoid handover failure due t</w:t>
      </w:r>
      <w:r w:rsidR="00C65797">
        <w:rPr>
          <w:lang w:eastAsia="zh-CN"/>
        </w:rPr>
        <w:t>o</w:t>
      </w:r>
      <w:r>
        <w:rPr>
          <w:lang w:eastAsia="zh-CN"/>
        </w:rPr>
        <w:t xml:space="preserve"> such cell switch off, </w:t>
      </w:r>
      <w:r w:rsidR="00923F0F">
        <w:rPr>
          <w:lang w:eastAsia="zh-CN"/>
        </w:rPr>
        <w:t xml:space="preserve">NW may configure the NES-based CHO </w:t>
      </w:r>
      <w:r w:rsidR="00BB54E8">
        <w:rPr>
          <w:lang w:eastAsia="zh-CN"/>
        </w:rPr>
        <w:t xml:space="preserve">by </w:t>
      </w:r>
      <w:r w:rsidR="00923F0F">
        <w:rPr>
          <w:lang w:eastAsia="zh-CN"/>
        </w:rPr>
        <w:t xml:space="preserve">RRC as early as possible. In other words, </w:t>
      </w:r>
      <w:r w:rsidR="00BB54E8">
        <w:rPr>
          <w:lang w:eastAsia="zh-CN"/>
        </w:rPr>
        <w:t xml:space="preserve">most of </w:t>
      </w:r>
      <w:r w:rsidR="00923F0F">
        <w:rPr>
          <w:lang w:eastAsia="zh-CN"/>
        </w:rPr>
        <w:t xml:space="preserve">UE needs to start the measurement in a very early stage. However, NW may trigger the CHO by DCI very late, or even not trigger the NES-based CHO. </w:t>
      </w:r>
      <w:r w:rsidR="00ED26D4">
        <w:rPr>
          <w:lang w:eastAsia="zh-CN"/>
        </w:rPr>
        <w:t>To avoid handover failure, the</w:t>
      </w:r>
      <w:r w:rsidR="00923F0F">
        <w:rPr>
          <w:lang w:eastAsia="zh-CN"/>
        </w:rPr>
        <w:t xml:space="preserve"> UEs will waste the power due to such unnecessary measurement. To </w:t>
      </w:r>
      <w:r w:rsidR="00ED26D4">
        <w:rPr>
          <w:lang w:eastAsia="zh-CN"/>
        </w:rPr>
        <w:t>solve the issue</w:t>
      </w:r>
      <w:r w:rsidR="00923F0F">
        <w:rPr>
          <w:lang w:eastAsia="zh-CN"/>
        </w:rPr>
        <w:t xml:space="preserve">, </w:t>
      </w:r>
      <w:r>
        <w:rPr>
          <w:lang w:eastAsia="zh-CN"/>
        </w:rPr>
        <w:t xml:space="preserve">one possible option is to </w:t>
      </w:r>
      <w:r w:rsidR="00203425">
        <w:rPr>
          <w:lang w:eastAsia="zh-CN"/>
        </w:rPr>
        <w:t xml:space="preserve">define unified measurement requirement to speed up the measurement period. For example, </w:t>
      </w:r>
      <w:r w:rsidR="00C9696D">
        <w:rPr>
          <w:lang w:eastAsia="zh-CN"/>
        </w:rPr>
        <w:t>a</w:t>
      </w:r>
      <w:r w:rsidR="006F2D23">
        <w:rPr>
          <w:rFonts w:cs="v4.2.0"/>
        </w:rPr>
        <w:t xml:space="preserve"> unified measurement requirement only based on SMTC can be defined.</w:t>
      </w:r>
      <w:r w:rsidR="00F47E24">
        <w:rPr>
          <w:rFonts w:cs="v4.2.0"/>
        </w:rPr>
        <w:t xml:space="preserve"> Another possible option is to indicate </w:t>
      </w:r>
      <w:r w:rsidR="006F2D23">
        <w:rPr>
          <w:rFonts w:cs="v4.2.0"/>
        </w:rPr>
        <w:t>a</w:t>
      </w:r>
      <w:r w:rsidR="00F47E24">
        <w:rPr>
          <w:rFonts w:cs="v4.2.0"/>
        </w:rPr>
        <w:t xml:space="preserve"> </w:t>
      </w:r>
      <w:r w:rsidR="00C65797">
        <w:rPr>
          <w:rFonts w:cs="v4.2.0"/>
        </w:rPr>
        <w:t>‘</w:t>
      </w:r>
      <w:r w:rsidR="006C1F50">
        <w:rPr>
          <w:rFonts w:cs="v4.2.0"/>
        </w:rPr>
        <w:t>grace time period</w:t>
      </w:r>
      <w:r w:rsidR="00C65797">
        <w:rPr>
          <w:rFonts w:cs="v4.2.0"/>
        </w:rPr>
        <w:t>’</w:t>
      </w:r>
      <w:r w:rsidR="006C1F50">
        <w:rPr>
          <w:rFonts w:cs="v4.2.0"/>
        </w:rPr>
        <w:t xml:space="preserve"> to UE. UE will decide whether </w:t>
      </w:r>
      <w:r w:rsidR="006024C2">
        <w:rPr>
          <w:rFonts w:cs="v4.2.0"/>
        </w:rPr>
        <w:t>trigger</w:t>
      </w:r>
      <w:r w:rsidR="006C1F50">
        <w:rPr>
          <w:rFonts w:cs="v4.2.0"/>
        </w:rPr>
        <w:t xml:space="preserve"> the measurement based on </w:t>
      </w:r>
      <w:r w:rsidR="00677023">
        <w:rPr>
          <w:rFonts w:cs="v4.2.0"/>
        </w:rPr>
        <w:t xml:space="preserve">its </w:t>
      </w:r>
      <w:r w:rsidR="006C1F50">
        <w:rPr>
          <w:rFonts w:cs="v4.2.0"/>
        </w:rPr>
        <w:t xml:space="preserve">current measurement configuration and </w:t>
      </w:r>
      <w:r w:rsidR="00C65797">
        <w:rPr>
          <w:rFonts w:cs="v4.2.0"/>
        </w:rPr>
        <w:t xml:space="preserve">the </w:t>
      </w:r>
      <w:proofErr w:type="gramStart"/>
      <w:r w:rsidR="00C65797">
        <w:rPr>
          <w:rFonts w:cs="v4.2.0"/>
        </w:rPr>
        <w:t>time period</w:t>
      </w:r>
      <w:proofErr w:type="gramEnd"/>
      <w:r w:rsidR="00C65797">
        <w:rPr>
          <w:rFonts w:cs="v4.2.0"/>
        </w:rPr>
        <w:t xml:space="preserve"> indicated by NW.</w:t>
      </w:r>
      <w:r w:rsidR="00995F87">
        <w:rPr>
          <w:lang w:eastAsia="zh-CN"/>
        </w:rPr>
        <w:t xml:space="preserve"> </w:t>
      </w:r>
      <w:r w:rsidR="00203425">
        <w:rPr>
          <w:lang w:eastAsia="zh-CN"/>
        </w:rPr>
        <w:t xml:space="preserve"> </w:t>
      </w:r>
    </w:p>
    <w:p w14:paraId="1D0D63D3" w14:textId="4BD7D95E" w:rsidR="0018479C" w:rsidRDefault="0018479C" w:rsidP="000C13E6">
      <w:pPr>
        <w:spacing w:before="120"/>
        <w:jc w:val="both"/>
        <w:rPr>
          <w:rFonts w:asciiTheme="minorHAnsi" w:hAnsiTheme="minorHAnsi" w:cstheme="minorHAnsi"/>
          <w:b/>
          <w:bCs/>
          <w:i/>
          <w:szCs w:val="22"/>
        </w:rPr>
      </w:pPr>
      <w:bookmarkStart w:id="10" w:name="_Ref146234487"/>
      <w:bookmarkStart w:id="11" w:name="_Ref149815863"/>
      <w:bookmarkStart w:id="12" w:name="_Ref1626194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162388">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10"/>
      <w:bookmarkEnd w:id="11"/>
      <w:r w:rsidR="00082F91">
        <w:rPr>
          <w:rFonts w:asciiTheme="minorHAnsi" w:hAnsiTheme="minorHAnsi" w:cstheme="minorHAnsi"/>
          <w:b/>
          <w:bCs/>
          <w:i/>
          <w:szCs w:val="22"/>
        </w:rPr>
        <w:t xml:space="preserve">Two options to solve the cell switch off </w:t>
      </w:r>
      <w:r w:rsidR="00F4357D">
        <w:rPr>
          <w:rFonts w:asciiTheme="minorHAnsi" w:hAnsiTheme="minorHAnsi" w:cstheme="minorHAnsi"/>
          <w:b/>
          <w:bCs/>
          <w:i/>
          <w:szCs w:val="22"/>
        </w:rPr>
        <w:t>issue</w:t>
      </w:r>
      <w:r w:rsidR="00082F91">
        <w:rPr>
          <w:rFonts w:asciiTheme="minorHAnsi" w:hAnsiTheme="minorHAnsi" w:cstheme="minorHAnsi"/>
          <w:b/>
          <w:bCs/>
          <w:i/>
          <w:szCs w:val="22"/>
        </w:rPr>
        <w:t xml:space="preserve"> in RAN4</w:t>
      </w:r>
      <w:r w:rsidR="00127F56">
        <w:rPr>
          <w:rFonts w:asciiTheme="minorHAnsi" w:hAnsiTheme="minorHAnsi" w:cstheme="minorHAnsi"/>
          <w:b/>
          <w:bCs/>
          <w:i/>
          <w:szCs w:val="22"/>
        </w:rPr>
        <w:t xml:space="preserve"> are:</w:t>
      </w:r>
      <w:bookmarkEnd w:id="12"/>
    </w:p>
    <w:p w14:paraId="53EE8142" w14:textId="0D19654C" w:rsidR="00C17EB9" w:rsidRDefault="00082F91" w:rsidP="00D47DE0">
      <w:pPr>
        <w:pStyle w:val="ListParagraph"/>
        <w:numPr>
          <w:ilvl w:val="0"/>
          <w:numId w:val="7"/>
        </w:numPr>
        <w:jc w:val="both"/>
        <w:rPr>
          <w:rFonts w:asciiTheme="minorHAnsi" w:hAnsiTheme="minorHAnsi" w:cstheme="minorHAnsi"/>
          <w:b/>
          <w:bCs/>
          <w:i/>
          <w:sz w:val="20"/>
          <w:szCs w:val="22"/>
          <w:lang w:val="en-GB"/>
        </w:rPr>
      </w:pPr>
      <w:r>
        <w:rPr>
          <w:rFonts w:asciiTheme="minorHAnsi" w:hAnsiTheme="minorHAnsi" w:cstheme="minorHAnsi"/>
          <w:b/>
          <w:bCs/>
          <w:i/>
          <w:sz w:val="20"/>
          <w:szCs w:val="22"/>
          <w:lang w:val="en-GB"/>
        </w:rPr>
        <w:t xml:space="preserve">Option 1: </w:t>
      </w:r>
      <w:r w:rsidRPr="00082F91">
        <w:rPr>
          <w:rFonts w:asciiTheme="minorHAnsi" w:hAnsiTheme="minorHAnsi" w:cstheme="minorHAnsi"/>
          <w:b/>
          <w:bCs/>
          <w:i/>
          <w:sz w:val="20"/>
          <w:szCs w:val="22"/>
          <w:lang w:val="en-GB"/>
        </w:rPr>
        <w:t>when NW enabled NES DCI mode, UE shall perform measurement and handover to the target cell as fast as possible regardless of</w:t>
      </w:r>
      <w:r w:rsidR="007912D9">
        <w:rPr>
          <w:rFonts w:asciiTheme="minorHAnsi" w:hAnsiTheme="minorHAnsi" w:cstheme="minorHAnsi"/>
          <w:b/>
          <w:bCs/>
          <w:i/>
          <w:sz w:val="20"/>
          <w:szCs w:val="22"/>
          <w:lang w:val="en-GB"/>
        </w:rPr>
        <w:t xml:space="preserve"> current</w:t>
      </w:r>
      <w:r w:rsidRPr="00082F91">
        <w:rPr>
          <w:rFonts w:asciiTheme="minorHAnsi" w:hAnsiTheme="minorHAnsi" w:cstheme="minorHAnsi"/>
          <w:b/>
          <w:bCs/>
          <w:i/>
          <w:sz w:val="20"/>
          <w:szCs w:val="22"/>
          <w:lang w:val="en-GB"/>
        </w:rPr>
        <w:t xml:space="preserve"> measurement rules</w:t>
      </w:r>
      <w:r w:rsidR="007912D9">
        <w:rPr>
          <w:rFonts w:asciiTheme="minorHAnsi" w:hAnsiTheme="minorHAnsi" w:cstheme="minorHAnsi"/>
          <w:b/>
          <w:bCs/>
          <w:i/>
          <w:sz w:val="20"/>
          <w:szCs w:val="22"/>
          <w:lang w:val="en-GB"/>
        </w:rPr>
        <w:t>.</w:t>
      </w:r>
    </w:p>
    <w:p w14:paraId="3EE298A2" w14:textId="44BA71C7" w:rsidR="00860E23" w:rsidRDefault="007912D9" w:rsidP="00DE7B02">
      <w:pPr>
        <w:pStyle w:val="ListParagraph"/>
        <w:numPr>
          <w:ilvl w:val="0"/>
          <w:numId w:val="7"/>
        </w:numPr>
        <w:spacing w:before="120"/>
        <w:jc w:val="both"/>
        <w:rPr>
          <w:rFonts w:asciiTheme="minorHAnsi" w:hAnsiTheme="minorHAnsi" w:cstheme="minorHAnsi"/>
          <w:b/>
          <w:bCs/>
          <w:i/>
          <w:sz w:val="20"/>
          <w:szCs w:val="22"/>
          <w:lang w:val="en-GB"/>
        </w:rPr>
      </w:pPr>
      <w:r>
        <w:rPr>
          <w:rFonts w:asciiTheme="minorHAnsi" w:hAnsiTheme="minorHAnsi" w:cstheme="minorHAnsi"/>
          <w:b/>
          <w:bCs/>
          <w:i/>
          <w:sz w:val="20"/>
          <w:szCs w:val="22"/>
          <w:lang w:val="en-GB"/>
        </w:rPr>
        <w:t>Option 2: NW indicates the ‘</w:t>
      </w:r>
      <w:r w:rsidR="00B2268C">
        <w:rPr>
          <w:rFonts w:asciiTheme="minorHAnsi" w:hAnsiTheme="minorHAnsi" w:cstheme="minorHAnsi"/>
          <w:b/>
          <w:bCs/>
          <w:i/>
          <w:sz w:val="20"/>
          <w:szCs w:val="22"/>
          <w:lang w:val="en-GB"/>
        </w:rPr>
        <w:t xml:space="preserve">grace </w:t>
      </w:r>
      <w:r>
        <w:rPr>
          <w:rFonts w:asciiTheme="minorHAnsi" w:hAnsiTheme="minorHAnsi" w:cstheme="minorHAnsi"/>
          <w:b/>
          <w:bCs/>
          <w:i/>
          <w:sz w:val="20"/>
          <w:szCs w:val="22"/>
          <w:lang w:val="en-GB"/>
        </w:rPr>
        <w:t>time period’</w:t>
      </w:r>
      <w:r w:rsidR="00B2268C">
        <w:rPr>
          <w:rFonts w:asciiTheme="minorHAnsi" w:hAnsiTheme="minorHAnsi" w:cstheme="minorHAnsi"/>
          <w:b/>
          <w:bCs/>
          <w:i/>
          <w:sz w:val="20"/>
          <w:szCs w:val="22"/>
          <w:lang w:val="en-GB"/>
        </w:rPr>
        <w:t xml:space="preserve"> to UE to allow </w:t>
      </w:r>
      <w:r w:rsidR="003A61EF">
        <w:rPr>
          <w:rFonts w:asciiTheme="minorHAnsi" w:hAnsiTheme="minorHAnsi" w:cstheme="minorHAnsi"/>
          <w:b/>
          <w:bCs/>
          <w:i/>
          <w:sz w:val="20"/>
          <w:szCs w:val="22"/>
          <w:lang w:val="en-GB"/>
        </w:rPr>
        <w:t xml:space="preserve">the </w:t>
      </w:r>
      <w:r w:rsidR="00B2268C">
        <w:rPr>
          <w:rFonts w:asciiTheme="minorHAnsi" w:hAnsiTheme="minorHAnsi" w:cstheme="minorHAnsi"/>
          <w:b/>
          <w:bCs/>
          <w:i/>
          <w:sz w:val="20"/>
          <w:szCs w:val="22"/>
          <w:lang w:val="en-GB"/>
        </w:rPr>
        <w:t>UE to finish the measurement and handover to target cell</w:t>
      </w:r>
      <w:r w:rsidR="00E313F3">
        <w:rPr>
          <w:rFonts w:asciiTheme="minorHAnsi" w:hAnsiTheme="minorHAnsi" w:cstheme="minorHAnsi"/>
          <w:b/>
          <w:bCs/>
          <w:i/>
          <w:sz w:val="20"/>
          <w:szCs w:val="22"/>
          <w:lang w:val="en-GB"/>
        </w:rPr>
        <w:t xml:space="preserve"> before the ‘grace time period’</w:t>
      </w:r>
      <w:r w:rsidR="008271F2" w:rsidRPr="00DE7B02">
        <w:rPr>
          <w:rFonts w:asciiTheme="minorHAnsi" w:hAnsiTheme="minorHAnsi" w:cstheme="minorHAnsi"/>
          <w:b/>
          <w:bCs/>
          <w:i/>
          <w:sz w:val="20"/>
          <w:szCs w:val="22"/>
          <w:lang w:val="en-GB"/>
        </w:rPr>
        <w:t>.</w:t>
      </w:r>
    </w:p>
    <w:p w14:paraId="6FBABBC3" w14:textId="77777777" w:rsidR="002E0403" w:rsidRPr="00DE7B02" w:rsidRDefault="002E0403" w:rsidP="002E0403">
      <w:pPr>
        <w:pStyle w:val="ListParagraph"/>
        <w:spacing w:before="120"/>
        <w:jc w:val="both"/>
        <w:rPr>
          <w:rFonts w:asciiTheme="minorHAnsi" w:hAnsiTheme="minorHAnsi" w:cstheme="minorHAnsi"/>
          <w:b/>
          <w:bCs/>
          <w:i/>
          <w:sz w:val="20"/>
          <w:szCs w:val="22"/>
          <w:lang w:val="en-GB"/>
        </w:rPr>
      </w:pPr>
    </w:p>
    <w:p w14:paraId="1253B291" w14:textId="277DEA48" w:rsidR="004B2118" w:rsidRDefault="001A2DFD" w:rsidP="008B650F">
      <w:pPr>
        <w:jc w:val="both"/>
        <w:rPr>
          <w:rFonts w:cs="v4.2.0"/>
        </w:rPr>
      </w:pPr>
      <w:r w:rsidRPr="002E0403">
        <w:rPr>
          <w:rFonts w:cs="v4.2.0"/>
        </w:rPr>
        <w:t xml:space="preserve">Another open issue </w:t>
      </w:r>
      <w:r w:rsidR="004B2118">
        <w:rPr>
          <w:rFonts w:cs="v4.2.0"/>
        </w:rPr>
        <w:t xml:space="preserve">is also </w:t>
      </w:r>
      <w:r w:rsidRPr="002E0403">
        <w:rPr>
          <w:rFonts w:cs="v4.2.0"/>
        </w:rPr>
        <w:t xml:space="preserve">related to measurement behaviour </w:t>
      </w:r>
      <w:r w:rsidR="004B2118">
        <w:rPr>
          <w:rFonts w:cs="v4.2.0"/>
        </w:rPr>
        <w:t>for NES-based CHO.</w:t>
      </w:r>
    </w:p>
    <w:tbl>
      <w:tblPr>
        <w:tblStyle w:val="TableGrid"/>
        <w:tblW w:w="0" w:type="auto"/>
        <w:tblLook w:val="04A0" w:firstRow="1" w:lastRow="0" w:firstColumn="1" w:lastColumn="0" w:noHBand="0" w:noVBand="1"/>
      </w:tblPr>
      <w:tblGrid>
        <w:gridCol w:w="9629"/>
      </w:tblGrid>
      <w:tr w:rsidR="004B2118" w14:paraId="64289A34" w14:textId="77777777" w:rsidTr="004B2118">
        <w:tc>
          <w:tcPr>
            <w:tcW w:w="9629" w:type="dxa"/>
          </w:tcPr>
          <w:p w14:paraId="3F085E96" w14:textId="77777777" w:rsidR="00176C96" w:rsidRPr="00176C96" w:rsidRDefault="00176C96" w:rsidP="00176C96">
            <w:pPr>
              <w:spacing w:after="0"/>
              <w:rPr>
                <w:rFonts w:eastAsia="Times New Roman"/>
                <w:lang w:eastAsia="zh-CN"/>
              </w:rPr>
            </w:pPr>
            <w:r w:rsidRPr="00176C96">
              <w:rPr>
                <w:rFonts w:eastAsia="Times New Roman"/>
                <w:b/>
                <w:bCs/>
                <w:u w:val="single"/>
                <w:lang w:eastAsia="zh-CN"/>
              </w:rPr>
              <w:t>Issue 2-3-2 CHO condition is not any more fulfilled when receiving the DCI 2-9.</w:t>
            </w:r>
          </w:p>
          <w:p w14:paraId="3F217995" w14:textId="77777777" w:rsidR="00176C96" w:rsidRPr="00176C96" w:rsidRDefault="00176C96" w:rsidP="00176C96">
            <w:pPr>
              <w:numPr>
                <w:ilvl w:val="0"/>
                <w:numId w:val="13"/>
              </w:numPr>
              <w:spacing w:after="0"/>
              <w:ind w:left="360"/>
              <w:textAlignment w:val="center"/>
              <w:rPr>
                <w:rFonts w:ascii="Calibri" w:eastAsia="Times New Roman" w:hAnsi="Calibri" w:cs="Calibri"/>
                <w:sz w:val="22"/>
                <w:szCs w:val="22"/>
                <w:lang w:eastAsia="zh-CN"/>
              </w:rPr>
            </w:pPr>
            <w:r w:rsidRPr="00176C96">
              <w:rPr>
                <w:rFonts w:eastAsia="Times New Roman"/>
                <w:lang w:eastAsia="zh-CN"/>
              </w:rPr>
              <w:t>Proposals</w:t>
            </w:r>
          </w:p>
          <w:p w14:paraId="024221D9" w14:textId="77777777" w:rsidR="00176C96" w:rsidRPr="00176C96" w:rsidRDefault="00176C96" w:rsidP="00176C96">
            <w:pPr>
              <w:numPr>
                <w:ilvl w:val="1"/>
                <w:numId w:val="13"/>
              </w:numPr>
              <w:spacing w:after="0"/>
              <w:ind w:left="1080"/>
              <w:textAlignment w:val="center"/>
              <w:rPr>
                <w:rFonts w:ascii="Calibri" w:eastAsia="Times New Roman" w:hAnsi="Calibri" w:cs="Calibri"/>
                <w:sz w:val="22"/>
                <w:szCs w:val="22"/>
                <w:lang w:eastAsia="zh-CN"/>
              </w:rPr>
            </w:pPr>
            <w:r w:rsidRPr="00176C96">
              <w:rPr>
                <w:rFonts w:eastAsia="Times New Roman"/>
                <w:lang w:eastAsia="zh-CN"/>
              </w:rPr>
              <w:t>Option 1: (Nokia)</w:t>
            </w:r>
          </w:p>
          <w:p w14:paraId="3E1937B5" w14:textId="77777777" w:rsidR="00176C96" w:rsidRPr="00176C96" w:rsidRDefault="00176C96" w:rsidP="00176C96">
            <w:pPr>
              <w:numPr>
                <w:ilvl w:val="2"/>
                <w:numId w:val="13"/>
              </w:numPr>
              <w:spacing w:after="0"/>
              <w:ind w:left="1800"/>
              <w:textAlignment w:val="center"/>
              <w:rPr>
                <w:rFonts w:ascii="Calibri" w:eastAsia="Times New Roman" w:hAnsi="Calibri" w:cs="Calibri"/>
                <w:sz w:val="22"/>
                <w:szCs w:val="22"/>
                <w:lang w:eastAsia="zh-CN"/>
              </w:rPr>
            </w:pPr>
            <w:r w:rsidRPr="00176C96">
              <w:rPr>
                <w:rFonts w:eastAsia="Times New Roman"/>
                <w:lang w:eastAsia="zh-CN"/>
              </w:rPr>
              <w:t xml:space="preserve">For the case DCI 2-X command comes after </w:t>
            </w:r>
            <w:proofErr w:type="spellStart"/>
            <w:r w:rsidRPr="00176C96">
              <w:rPr>
                <w:rFonts w:eastAsia="Times New Roman"/>
                <w:lang w:eastAsia="zh-CN"/>
              </w:rPr>
              <w:t>TEvent_DU</w:t>
            </w:r>
            <w:proofErr w:type="spellEnd"/>
            <w:r w:rsidRPr="00176C96">
              <w:rPr>
                <w:rFonts w:eastAsia="Times New Roman"/>
                <w:lang w:eastAsia="zh-CN"/>
              </w:rPr>
              <w:t xml:space="preserve"> + </w:t>
            </w:r>
            <w:proofErr w:type="spellStart"/>
            <w:r w:rsidRPr="00176C96">
              <w:rPr>
                <w:rFonts w:eastAsia="Times New Roman"/>
                <w:lang w:eastAsia="zh-CN"/>
              </w:rPr>
              <w:t>Tidentify_intra_with_index</w:t>
            </w:r>
            <w:proofErr w:type="spellEnd"/>
            <w:r w:rsidRPr="00176C96">
              <w:rPr>
                <w:rFonts w:eastAsia="Times New Roman"/>
                <w:lang w:eastAsia="zh-CN"/>
              </w:rPr>
              <w:t>, the NES-based CHO shall be executed only if the condition of NES-based CHO is still met when receiving the DCI 2-X command.</w:t>
            </w:r>
          </w:p>
          <w:p w14:paraId="2A99AA57" w14:textId="3FBF15CB" w:rsidR="004B2118" w:rsidRDefault="00176C96" w:rsidP="00176C96">
            <w:pPr>
              <w:numPr>
                <w:ilvl w:val="2"/>
                <w:numId w:val="13"/>
              </w:numPr>
              <w:spacing w:after="0"/>
              <w:ind w:left="1800"/>
              <w:textAlignment w:val="center"/>
              <w:rPr>
                <w:rFonts w:cs="v4.2.0"/>
              </w:rPr>
            </w:pPr>
            <w:r w:rsidRPr="00176C96">
              <w:rPr>
                <w:rFonts w:eastAsia="Times New Roman"/>
                <w:lang w:eastAsia="zh-CN"/>
              </w:rPr>
              <w:t>RAN4 to wait for RAN2 conclusion and decides if defining the handover delay requirement if the CHO condition has been met but is not any more fulfilled when receiving the DCI 2-X command.</w:t>
            </w:r>
          </w:p>
        </w:tc>
      </w:tr>
    </w:tbl>
    <w:p w14:paraId="021E5EE0" w14:textId="77777777" w:rsidR="004B2118" w:rsidRDefault="004B2118" w:rsidP="008B650F">
      <w:pPr>
        <w:jc w:val="both"/>
        <w:rPr>
          <w:rFonts w:cs="v4.2.0"/>
        </w:rPr>
      </w:pPr>
    </w:p>
    <w:p w14:paraId="066D36B7" w14:textId="3FA6F74A" w:rsidR="00E313F3" w:rsidRDefault="00176C96" w:rsidP="008B650F">
      <w:pPr>
        <w:jc w:val="both"/>
        <w:rPr>
          <w:rFonts w:cs="v4.2.0"/>
        </w:rPr>
      </w:pPr>
      <w:r>
        <w:rPr>
          <w:rFonts w:cs="v4.2.0"/>
        </w:rPr>
        <w:lastRenderedPageBreak/>
        <w:t>W</w:t>
      </w:r>
      <w:r w:rsidR="00392F6F">
        <w:rPr>
          <w:rFonts w:cs="v4.2.0"/>
        </w:rPr>
        <w:t xml:space="preserve">hen </w:t>
      </w:r>
      <w:r w:rsidR="00392F6F" w:rsidRPr="00392F6F">
        <w:rPr>
          <w:rFonts w:cs="v4.2.0"/>
        </w:rPr>
        <w:t xml:space="preserve">UE has received NES CHO configuration and a </w:t>
      </w:r>
      <w:r>
        <w:rPr>
          <w:rFonts w:cs="v4.2.0"/>
        </w:rPr>
        <w:t>candidate</w:t>
      </w:r>
      <w:r w:rsidR="00392F6F" w:rsidRPr="00392F6F">
        <w:rPr>
          <w:rFonts w:cs="v4.2.0"/>
        </w:rPr>
        <w:t xml:space="preserve"> cell is available</w:t>
      </w:r>
      <w:r w:rsidR="00BF2956">
        <w:rPr>
          <w:rFonts w:cs="v4.2.0"/>
        </w:rPr>
        <w:t>, t</w:t>
      </w:r>
      <w:r w:rsidR="00392F6F" w:rsidRPr="00392F6F">
        <w:rPr>
          <w:rFonts w:cs="v4.2.0"/>
        </w:rPr>
        <w:t xml:space="preserve">he DCI 2_9 including NES mode indication (enabled) comes much later, at which point the </w:t>
      </w:r>
      <w:r>
        <w:rPr>
          <w:rFonts w:cs="v4.2.0"/>
        </w:rPr>
        <w:t xml:space="preserve">candidate </w:t>
      </w:r>
      <w:r w:rsidR="00392F6F" w:rsidRPr="00392F6F">
        <w:rPr>
          <w:rFonts w:cs="v4.2.0"/>
        </w:rPr>
        <w:t xml:space="preserve">cell may no longer </w:t>
      </w:r>
      <w:proofErr w:type="spellStart"/>
      <w:r w:rsidR="00392F6F" w:rsidRPr="00392F6F">
        <w:rPr>
          <w:rFonts w:cs="v4.2.0"/>
        </w:rPr>
        <w:t>fulfill</w:t>
      </w:r>
      <w:proofErr w:type="spellEnd"/>
      <w:r w:rsidR="00392F6F" w:rsidRPr="00392F6F">
        <w:rPr>
          <w:rFonts w:cs="v4.2.0"/>
        </w:rPr>
        <w:t xml:space="preserve"> the NES CHO condition</w:t>
      </w:r>
      <w:r w:rsidR="00C17C5B">
        <w:rPr>
          <w:rFonts w:cs="v4.2.0"/>
        </w:rPr>
        <w:t xml:space="preserve">. In our understanding, when UE receives the DCI indication and the channel doesn’t fulfil the NES CHO condition, UE shall continue the measurement and evaluation </w:t>
      </w:r>
      <w:r w:rsidR="00FC171F">
        <w:rPr>
          <w:rFonts w:cs="v4.2.0"/>
        </w:rPr>
        <w:t xml:space="preserve">until </w:t>
      </w:r>
      <w:r w:rsidR="00C17C5B">
        <w:rPr>
          <w:rFonts w:cs="v4.2.0"/>
        </w:rPr>
        <w:t>UE find</w:t>
      </w:r>
      <w:r w:rsidR="00FC171F">
        <w:rPr>
          <w:rFonts w:cs="v4.2.0"/>
        </w:rPr>
        <w:t>s</w:t>
      </w:r>
      <w:r w:rsidR="00C17C5B">
        <w:rPr>
          <w:rFonts w:cs="v4.2.0"/>
        </w:rPr>
        <w:t xml:space="preserve"> a candidate cell which condition meets the configuration threshold. In other words, UE is not allowed to handover to the original candidate cell during this period. </w:t>
      </w:r>
    </w:p>
    <w:p w14:paraId="66FBCBB3" w14:textId="5FC9C307" w:rsidR="00286F43" w:rsidRPr="00DD0A32" w:rsidRDefault="00286F43" w:rsidP="00286F43">
      <w:pPr>
        <w:jc w:val="both"/>
        <w:rPr>
          <w:rFonts w:cs="v4.2.0"/>
          <w:b/>
          <w:bCs/>
          <w:i/>
        </w:rPr>
      </w:pPr>
      <w:bookmarkStart w:id="13" w:name="_Ref161340980"/>
      <w:r w:rsidRPr="00DD0A32">
        <w:rPr>
          <w:rFonts w:asciiTheme="minorHAnsi" w:hAnsiTheme="minorHAnsi" w:cstheme="minorHAnsi"/>
          <w:b/>
          <w:bCs/>
          <w:i/>
          <w:szCs w:val="22"/>
        </w:rPr>
        <w:t xml:space="preserve">Proposal </w:t>
      </w:r>
      <w:r w:rsidRPr="00DD0A32">
        <w:rPr>
          <w:rFonts w:asciiTheme="minorHAnsi" w:hAnsiTheme="minorHAnsi" w:cstheme="minorHAnsi"/>
          <w:b/>
          <w:bCs/>
          <w:i/>
          <w:szCs w:val="22"/>
        </w:rPr>
        <w:fldChar w:fldCharType="begin"/>
      </w:r>
      <w:r w:rsidRPr="00DD0A32">
        <w:rPr>
          <w:rFonts w:asciiTheme="minorHAnsi" w:hAnsiTheme="minorHAnsi" w:cstheme="minorHAnsi"/>
          <w:b/>
          <w:bCs/>
          <w:i/>
          <w:szCs w:val="22"/>
        </w:rPr>
        <w:instrText xml:space="preserve"> SEQ Proposal \* ARABIC </w:instrText>
      </w:r>
      <w:r w:rsidRPr="00DD0A32">
        <w:rPr>
          <w:rFonts w:asciiTheme="minorHAnsi" w:hAnsiTheme="minorHAnsi" w:cstheme="minorHAnsi"/>
          <w:b/>
          <w:bCs/>
          <w:i/>
          <w:szCs w:val="22"/>
        </w:rPr>
        <w:fldChar w:fldCharType="separate"/>
      </w:r>
      <w:r w:rsidR="00162388">
        <w:rPr>
          <w:rFonts w:asciiTheme="minorHAnsi" w:hAnsiTheme="minorHAnsi" w:cstheme="minorHAnsi"/>
          <w:b/>
          <w:bCs/>
          <w:i/>
          <w:noProof/>
          <w:szCs w:val="22"/>
        </w:rPr>
        <w:t>5</w:t>
      </w:r>
      <w:r w:rsidRPr="00DD0A32">
        <w:rPr>
          <w:rFonts w:asciiTheme="minorHAnsi" w:hAnsiTheme="minorHAnsi" w:cstheme="minorHAnsi"/>
          <w:b/>
          <w:bCs/>
          <w:i/>
          <w:szCs w:val="22"/>
        </w:rPr>
        <w:fldChar w:fldCharType="end"/>
      </w:r>
      <w:r w:rsidRPr="00DD0A32">
        <w:rPr>
          <w:rFonts w:asciiTheme="minorHAnsi" w:hAnsiTheme="minorHAnsi" w:cstheme="minorHAnsi"/>
          <w:b/>
          <w:bCs/>
          <w:i/>
          <w:szCs w:val="22"/>
        </w:rPr>
        <w:t xml:space="preserve">: </w:t>
      </w:r>
      <w:r w:rsidRPr="00DD0A32">
        <w:rPr>
          <w:rFonts w:cs="v4.2.0"/>
          <w:b/>
          <w:bCs/>
          <w:i/>
        </w:rPr>
        <w:t xml:space="preserve">When UE has received NES CHO configuration and a candidate cell fulfils the NES CHO condition, but the candidate cell no longer </w:t>
      </w:r>
      <w:proofErr w:type="spellStart"/>
      <w:r w:rsidRPr="00DD0A32">
        <w:rPr>
          <w:rFonts w:cs="v4.2.0"/>
          <w:b/>
          <w:bCs/>
          <w:i/>
        </w:rPr>
        <w:t>filfill</w:t>
      </w:r>
      <w:r w:rsidR="00162388">
        <w:rPr>
          <w:rFonts w:cs="v4.2.0"/>
          <w:b/>
          <w:bCs/>
          <w:i/>
        </w:rPr>
        <w:t>s</w:t>
      </w:r>
      <w:proofErr w:type="spellEnd"/>
      <w:r w:rsidRPr="00DD0A32">
        <w:rPr>
          <w:rFonts w:cs="v4.2.0"/>
          <w:b/>
          <w:bCs/>
          <w:i/>
        </w:rPr>
        <w:t xml:space="preserve"> the NES CHO condition when NES enabled DCI </w:t>
      </w:r>
      <w:proofErr w:type="spellStart"/>
      <w:r w:rsidRPr="00DD0A32">
        <w:rPr>
          <w:rFonts w:cs="v4.2.0"/>
          <w:b/>
          <w:bCs/>
          <w:i/>
        </w:rPr>
        <w:t>indicatated</w:t>
      </w:r>
      <w:proofErr w:type="spellEnd"/>
      <w:r w:rsidRPr="00DD0A32">
        <w:rPr>
          <w:rFonts w:cs="v4.2.0"/>
          <w:b/>
          <w:bCs/>
          <w:i/>
        </w:rPr>
        <w:t>, UE shall continue the measurement and evaluation and is not allowed to handover to the original candidate cell if it doesn’t meet the NES CHO condition.</w:t>
      </w:r>
      <w:bookmarkEnd w:id="13"/>
    </w:p>
    <w:p w14:paraId="559EA5B6" w14:textId="77777777" w:rsidR="001A2DFD" w:rsidRDefault="001A2DFD" w:rsidP="008B650F">
      <w:pPr>
        <w:jc w:val="both"/>
        <w:rPr>
          <w:rFonts w:asciiTheme="minorHAnsi" w:hAnsiTheme="minorHAnsi" w:cstheme="minorHAnsi"/>
          <w:b/>
          <w:bCs/>
          <w:iCs/>
          <w:szCs w:val="22"/>
          <w:u w:val="single"/>
        </w:rPr>
      </w:pPr>
    </w:p>
    <w:p w14:paraId="2044B7D9" w14:textId="6E914205" w:rsidR="00564941" w:rsidRPr="00564941" w:rsidRDefault="00564941" w:rsidP="008B650F">
      <w:pPr>
        <w:jc w:val="both"/>
        <w:rPr>
          <w:rFonts w:asciiTheme="minorHAnsi" w:hAnsiTheme="minorHAnsi" w:cstheme="minorHAnsi"/>
          <w:b/>
          <w:bCs/>
          <w:iCs/>
          <w:szCs w:val="22"/>
          <w:u w:val="single"/>
        </w:rPr>
      </w:pPr>
      <w:r w:rsidRPr="00564941">
        <w:rPr>
          <w:rFonts w:asciiTheme="minorHAnsi" w:hAnsiTheme="minorHAnsi" w:cstheme="minorHAnsi"/>
          <w:b/>
          <w:bCs/>
          <w:iCs/>
          <w:szCs w:val="22"/>
          <w:u w:val="single"/>
        </w:rPr>
        <w:t>CHO failure</w:t>
      </w:r>
    </w:p>
    <w:p w14:paraId="78F11FF3" w14:textId="422B8482" w:rsidR="000742E8" w:rsidRDefault="00953D82" w:rsidP="008B650F">
      <w:pPr>
        <w:jc w:val="both"/>
        <w:rPr>
          <w:rFonts w:asciiTheme="minorHAnsi" w:hAnsiTheme="minorHAnsi" w:cstheme="minorHAnsi"/>
          <w:iCs/>
          <w:szCs w:val="22"/>
        </w:rPr>
      </w:pPr>
      <w:r>
        <w:rPr>
          <w:rFonts w:asciiTheme="minorHAnsi" w:hAnsiTheme="minorHAnsi" w:cstheme="minorHAnsi"/>
          <w:iCs/>
          <w:szCs w:val="22"/>
        </w:rPr>
        <w:t>I</w:t>
      </w:r>
      <w:r w:rsidR="0000151F">
        <w:rPr>
          <w:rFonts w:asciiTheme="minorHAnsi" w:hAnsiTheme="minorHAnsi" w:cstheme="minorHAnsi"/>
          <w:iCs/>
          <w:szCs w:val="22"/>
        </w:rPr>
        <w:t xml:space="preserve">n NES-based CHO, </w:t>
      </w:r>
      <w:r>
        <w:rPr>
          <w:rFonts w:asciiTheme="minorHAnsi" w:hAnsiTheme="minorHAnsi" w:cstheme="minorHAnsi"/>
          <w:iCs/>
          <w:szCs w:val="22"/>
        </w:rPr>
        <w:t>when</w:t>
      </w:r>
      <w:r w:rsidR="0000151F">
        <w:rPr>
          <w:rFonts w:asciiTheme="minorHAnsi" w:hAnsiTheme="minorHAnsi" w:cstheme="minorHAnsi"/>
          <w:iCs/>
          <w:szCs w:val="22"/>
        </w:rPr>
        <w:t xml:space="preserve"> serving cell </w:t>
      </w:r>
      <w:r>
        <w:rPr>
          <w:rFonts w:asciiTheme="minorHAnsi" w:hAnsiTheme="minorHAnsi" w:cstheme="minorHAnsi"/>
          <w:iCs/>
          <w:szCs w:val="22"/>
        </w:rPr>
        <w:t xml:space="preserve">enters NES mode </w:t>
      </w:r>
      <w:r w:rsidR="0000151F">
        <w:rPr>
          <w:rFonts w:asciiTheme="minorHAnsi" w:hAnsiTheme="minorHAnsi" w:cstheme="minorHAnsi"/>
          <w:iCs/>
          <w:szCs w:val="22"/>
        </w:rPr>
        <w:t>but UE hasn’t f</w:t>
      </w:r>
      <w:r w:rsidR="008D4129">
        <w:rPr>
          <w:rFonts w:asciiTheme="minorHAnsi" w:hAnsiTheme="minorHAnsi" w:cstheme="minorHAnsi"/>
          <w:iCs/>
          <w:szCs w:val="22"/>
        </w:rPr>
        <w:t>ou</w:t>
      </w:r>
      <w:r w:rsidR="0000151F">
        <w:rPr>
          <w:rFonts w:asciiTheme="minorHAnsi" w:hAnsiTheme="minorHAnsi" w:cstheme="minorHAnsi"/>
          <w:iCs/>
          <w:szCs w:val="22"/>
        </w:rPr>
        <w:t xml:space="preserve">nd a suitable cell to execute the </w:t>
      </w:r>
      <w:r>
        <w:rPr>
          <w:rFonts w:asciiTheme="minorHAnsi" w:hAnsiTheme="minorHAnsi" w:cstheme="minorHAnsi"/>
          <w:iCs/>
          <w:szCs w:val="22"/>
        </w:rPr>
        <w:t xml:space="preserve">handover based on configured </w:t>
      </w:r>
      <w:r w:rsidR="009D6B29">
        <w:rPr>
          <w:rFonts w:asciiTheme="minorHAnsi" w:hAnsiTheme="minorHAnsi" w:cstheme="minorHAnsi"/>
          <w:iCs/>
          <w:szCs w:val="22"/>
        </w:rPr>
        <w:t>handover condition</w:t>
      </w:r>
      <w:r w:rsidR="0000151F">
        <w:rPr>
          <w:rFonts w:asciiTheme="minorHAnsi" w:hAnsiTheme="minorHAnsi" w:cstheme="minorHAnsi"/>
          <w:iCs/>
          <w:szCs w:val="22"/>
        </w:rPr>
        <w:t xml:space="preserve">, </w:t>
      </w:r>
      <w:r w:rsidR="00EF36C9">
        <w:rPr>
          <w:rFonts w:asciiTheme="minorHAnsi" w:hAnsiTheme="minorHAnsi" w:cstheme="minorHAnsi"/>
          <w:iCs/>
          <w:szCs w:val="22"/>
        </w:rPr>
        <w:t>the UE behaviour is unclear.</w:t>
      </w:r>
      <w:r w:rsidR="002C6AC4">
        <w:rPr>
          <w:rFonts w:asciiTheme="minorHAnsi" w:hAnsiTheme="minorHAnsi" w:cstheme="minorHAnsi"/>
          <w:iCs/>
          <w:szCs w:val="22"/>
        </w:rPr>
        <w:t xml:space="preserve"> In other words, when UE hasn’t finish</w:t>
      </w:r>
      <w:r w:rsidR="00EE68CB">
        <w:rPr>
          <w:rFonts w:asciiTheme="minorHAnsi" w:hAnsiTheme="minorHAnsi" w:cstheme="minorHAnsi"/>
          <w:iCs/>
          <w:szCs w:val="22"/>
        </w:rPr>
        <w:t>ed</w:t>
      </w:r>
      <w:r w:rsidR="002C6AC4">
        <w:rPr>
          <w:rFonts w:asciiTheme="minorHAnsi" w:hAnsiTheme="minorHAnsi" w:cstheme="minorHAnsi"/>
          <w:iCs/>
          <w:szCs w:val="22"/>
        </w:rPr>
        <w:t xml:space="preserve"> the CHO but serving cell </w:t>
      </w:r>
      <w:r w:rsidR="00EF36C9">
        <w:rPr>
          <w:rFonts w:asciiTheme="minorHAnsi" w:hAnsiTheme="minorHAnsi" w:cstheme="minorHAnsi"/>
          <w:iCs/>
          <w:szCs w:val="22"/>
        </w:rPr>
        <w:t xml:space="preserve">is </w:t>
      </w:r>
      <w:r w:rsidR="002C6AC4">
        <w:rPr>
          <w:rFonts w:asciiTheme="minorHAnsi" w:hAnsiTheme="minorHAnsi" w:cstheme="minorHAnsi"/>
          <w:iCs/>
          <w:szCs w:val="22"/>
        </w:rPr>
        <w:t>switch</w:t>
      </w:r>
      <w:r w:rsidR="00EF36C9">
        <w:rPr>
          <w:rFonts w:asciiTheme="minorHAnsi" w:hAnsiTheme="minorHAnsi" w:cstheme="minorHAnsi"/>
          <w:iCs/>
          <w:szCs w:val="22"/>
        </w:rPr>
        <w:t>ed</w:t>
      </w:r>
      <w:r w:rsidR="002C6AC4">
        <w:rPr>
          <w:rFonts w:asciiTheme="minorHAnsi" w:hAnsiTheme="minorHAnsi" w:cstheme="minorHAnsi"/>
          <w:iCs/>
          <w:szCs w:val="22"/>
        </w:rPr>
        <w:t xml:space="preserve"> off, </w:t>
      </w:r>
      <w:r w:rsidR="00EF36C9">
        <w:rPr>
          <w:rFonts w:asciiTheme="minorHAnsi" w:hAnsiTheme="minorHAnsi" w:cstheme="minorHAnsi"/>
          <w:iCs/>
          <w:szCs w:val="22"/>
        </w:rPr>
        <w:t xml:space="preserve">whether the </w:t>
      </w:r>
      <w:r w:rsidR="002C6AC4">
        <w:rPr>
          <w:rFonts w:asciiTheme="minorHAnsi" w:hAnsiTheme="minorHAnsi" w:cstheme="minorHAnsi"/>
          <w:iCs/>
          <w:szCs w:val="22"/>
        </w:rPr>
        <w:t xml:space="preserve">UE </w:t>
      </w:r>
      <w:r w:rsidR="00EE68CB">
        <w:rPr>
          <w:rFonts w:asciiTheme="minorHAnsi" w:hAnsiTheme="minorHAnsi" w:cstheme="minorHAnsi"/>
          <w:iCs/>
          <w:szCs w:val="22"/>
        </w:rPr>
        <w:t>will</w:t>
      </w:r>
      <w:r w:rsidR="00EF36C9">
        <w:rPr>
          <w:rFonts w:asciiTheme="minorHAnsi" w:hAnsiTheme="minorHAnsi" w:cstheme="minorHAnsi"/>
          <w:iCs/>
          <w:szCs w:val="22"/>
        </w:rPr>
        <w:t xml:space="preserve"> trigger </w:t>
      </w:r>
      <w:r w:rsidR="002C6AC4">
        <w:rPr>
          <w:rFonts w:asciiTheme="minorHAnsi" w:hAnsiTheme="minorHAnsi" w:cstheme="minorHAnsi"/>
          <w:iCs/>
          <w:szCs w:val="22"/>
        </w:rPr>
        <w:t>RLF</w:t>
      </w:r>
      <w:r w:rsidR="005A0C2E">
        <w:rPr>
          <w:rFonts w:asciiTheme="minorHAnsi" w:hAnsiTheme="minorHAnsi" w:cstheme="minorHAnsi"/>
          <w:iCs/>
          <w:szCs w:val="22"/>
        </w:rPr>
        <w:t xml:space="preserve"> or </w:t>
      </w:r>
      <w:r w:rsidR="00EF36C9">
        <w:rPr>
          <w:rFonts w:asciiTheme="minorHAnsi" w:hAnsiTheme="minorHAnsi" w:cstheme="minorHAnsi"/>
          <w:iCs/>
          <w:szCs w:val="22"/>
        </w:rPr>
        <w:t xml:space="preserve">keep on searching for a new candidate cell </w:t>
      </w:r>
      <w:r w:rsidR="00C947DD">
        <w:rPr>
          <w:rFonts w:asciiTheme="minorHAnsi" w:hAnsiTheme="minorHAnsi" w:cstheme="minorHAnsi"/>
          <w:iCs/>
          <w:szCs w:val="22"/>
        </w:rPr>
        <w:t>to perform handover</w:t>
      </w:r>
      <w:r w:rsidR="00EF36C9">
        <w:rPr>
          <w:rFonts w:asciiTheme="minorHAnsi" w:hAnsiTheme="minorHAnsi" w:cstheme="minorHAnsi"/>
          <w:iCs/>
          <w:szCs w:val="22"/>
        </w:rPr>
        <w:t xml:space="preserve"> are possible solutions</w:t>
      </w:r>
      <w:r w:rsidR="00C947DD">
        <w:rPr>
          <w:rFonts w:asciiTheme="minorHAnsi" w:hAnsiTheme="minorHAnsi" w:cstheme="minorHAnsi"/>
          <w:iCs/>
          <w:szCs w:val="22"/>
        </w:rPr>
        <w:t>.</w:t>
      </w:r>
      <w:r w:rsidR="002C6AC4">
        <w:rPr>
          <w:rFonts w:asciiTheme="minorHAnsi" w:hAnsiTheme="minorHAnsi" w:cstheme="minorHAnsi"/>
          <w:iCs/>
          <w:szCs w:val="22"/>
        </w:rPr>
        <w:t xml:space="preserve"> </w:t>
      </w:r>
    </w:p>
    <w:p w14:paraId="5049CCB4" w14:textId="0B8206B4" w:rsidR="00C947DD" w:rsidRPr="00A344D6" w:rsidRDefault="00C947DD" w:rsidP="008B650F">
      <w:pPr>
        <w:jc w:val="both"/>
        <w:rPr>
          <w:rFonts w:asciiTheme="minorHAnsi" w:hAnsiTheme="minorHAnsi" w:cstheme="minorHAnsi"/>
          <w:b/>
          <w:bCs/>
          <w:i/>
          <w:szCs w:val="22"/>
        </w:rPr>
      </w:pPr>
      <w:bookmarkStart w:id="14" w:name="_Ref1496588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162388">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study UE behaviour when </w:t>
      </w:r>
      <w:r w:rsidR="00A344D6" w:rsidRPr="00A344D6">
        <w:rPr>
          <w:rFonts w:asciiTheme="minorHAnsi" w:hAnsiTheme="minorHAnsi" w:cstheme="minorHAnsi"/>
          <w:b/>
          <w:bCs/>
          <w:i/>
          <w:szCs w:val="22"/>
        </w:rPr>
        <w:t>serving cell will switch off but the handover channel condition hasn’t met.</w:t>
      </w:r>
      <w:bookmarkEnd w:id="14"/>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15"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4079FB60" w14:textId="35B91F16" w:rsidR="000221D3" w:rsidRPr="000221D3" w:rsidRDefault="000221D3" w:rsidP="003548F1">
      <w:pPr>
        <w:jc w:val="both"/>
        <w:rPr>
          <w:b/>
          <w:bCs/>
          <w:i/>
          <w:iCs/>
          <w:lang w:val="en-US"/>
        </w:rPr>
      </w:pPr>
      <w:r w:rsidRPr="000221D3">
        <w:rPr>
          <w:b/>
          <w:bCs/>
          <w:i/>
          <w:iCs/>
          <w:lang w:val="en-US"/>
        </w:rPr>
        <w:fldChar w:fldCharType="begin"/>
      </w:r>
      <w:r w:rsidRPr="000221D3">
        <w:rPr>
          <w:b/>
          <w:bCs/>
          <w:i/>
          <w:iCs/>
          <w:lang w:val="en-US"/>
        </w:rPr>
        <w:instrText xml:space="preserve"> REF _Ref163308030 \h  \* MERGEFORMAT </w:instrText>
      </w:r>
      <w:r w:rsidRPr="000221D3">
        <w:rPr>
          <w:b/>
          <w:bCs/>
          <w:i/>
          <w:iCs/>
          <w:lang w:val="en-US"/>
        </w:rPr>
      </w:r>
      <w:r w:rsidRPr="000221D3">
        <w:rPr>
          <w:b/>
          <w:bCs/>
          <w:i/>
          <w:iCs/>
          <w:lang w:val="en-US"/>
        </w:rPr>
        <w:fldChar w:fldCharType="separate"/>
      </w:r>
      <w:r w:rsidR="00162388" w:rsidRPr="00162388">
        <w:rPr>
          <w:rFonts w:asciiTheme="minorHAnsi" w:hAnsiTheme="minorHAnsi" w:cstheme="minorHAnsi"/>
          <w:b/>
          <w:bCs/>
          <w:i/>
          <w:iCs/>
          <w:szCs w:val="22"/>
        </w:rPr>
        <w:t xml:space="preserve">Proposal </w:t>
      </w:r>
      <w:r w:rsidR="00162388" w:rsidRPr="00162388">
        <w:rPr>
          <w:rFonts w:asciiTheme="minorHAnsi" w:hAnsiTheme="minorHAnsi" w:cstheme="minorHAnsi"/>
          <w:b/>
          <w:bCs/>
          <w:i/>
          <w:iCs/>
          <w:noProof/>
          <w:szCs w:val="22"/>
        </w:rPr>
        <w:t>1</w:t>
      </w:r>
      <w:r w:rsidR="00162388" w:rsidRPr="00162388">
        <w:rPr>
          <w:rFonts w:asciiTheme="minorHAnsi" w:hAnsiTheme="minorHAnsi" w:cstheme="minorHAnsi"/>
          <w:b/>
          <w:bCs/>
          <w:i/>
          <w:iCs/>
          <w:szCs w:val="22"/>
        </w:rPr>
        <w:t xml:space="preserve">: </w:t>
      </w:r>
      <w:r w:rsidR="00162388" w:rsidRPr="00162388">
        <w:rPr>
          <w:b/>
          <w:bCs/>
          <w:i/>
          <w:iCs/>
        </w:rPr>
        <w:t>RAN4 to agree that the EPRE should be defined as the power per RE at the antenna connector as averaged over the respective SSB and TRS bandwidth and then normalized to the SCS.</w:t>
      </w:r>
      <w:r w:rsidRPr="000221D3">
        <w:rPr>
          <w:b/>
          <w:bCs/>
          <w:i/>
          <w:iCs/>
          <w:lang w:val="en-US"/>
        </w:rPr>
        <w:fldChar w:fldCharType="end"/>
      </w:r>
    </w:p>
    <w:p w14:paraId="1542DB4E" w14:textId="2DDC71BF" w:rsidR="000221D3" w:rsidRPr="000221D3" w:rsidRDefault="000221D3" w:rsidP="003548F1">
      <w:pPr>
        <w:jc w:val="both"/>
        <w:rPr>
          <w:b/>
          <w:bCs/>
          <w:i/>
          <w:iCs/>
          <w:lang w:val="en-US"/>
        </w:rPr>
      </w:pPr>
      <w:r w:rsidRPr="000221D3">
        <w:rPr>
          <w:b/>
          <w:bCs/>
          <w:i/>
          <w:iCs/>
          <w:lang w:val="en-US"/>
        </w:rPr>
        <w:fldChar w:fldCharType="begin"/>
      </w:r>
      <w:r w:rsidRPr="000221D3">
        <w:rPr>
          <w:b/>
          <w:bCs/>
          <w:i/>
          <w:iCs/>
          <w:lang w:val="en-US"/>
        </w:rPr>
        <w:instrText xml:space="preserve"> REF _Ref163308035 \h  \* MERGEFORMAT </w:instrText>
      </w:r>
      <w:r w:rsidRPr="000221D3">
        <w:rPr>
          <w:b/>
          <w:bCs/>
          <w:i/>
          <w:iCs/>
          <w:lang w:val="en-US"/>
        </w:rPr>
      </w:r>
      <w:r w:rsidRPr="000221D3">
        <w:rPr>
          <w:b/>
          <w:bCs/>
          <w:i/>
          <w:iCs/>
          <w:lang w:val="en-US"/>
        </w:rPr>
        <w:fldChar w:fldCharType="separate"/>
      </w:r>
      <w:r w:rsidR="00162388" w:rsidRPr="00162388">
        <w:rPr>
          <w:rFonts w:asciiTheme="minorHAnsi" w:hAnsiTheme="minorHAnsi" w:cstheme="minorHAnsi"/>
          <w:b/>
          <w:bCs/>
          <w:i/>
          <w:iCs/>
          <w:szCs w:val="22"/>
        </w:rPr>
        <w:t xml:space="preserve">Proposal </w:t>
      </w:r>
      <w:r w:rsidR="00162388" w:rsidRPr="00162388">
        <w:rPr>
          <w:rFonts w:asciiTheme="minorHAnsi" w:hAnsiTheme="minorHAnsi" w:cstheme="minorHAnsi"/>
          <w:b/>
          <w:bCs/>
          <w:i/>
          <w:iCs/>
          <w:noProof/>
          <w:szCs w:val="22"/>
        </w:rPr>
        <w:t>2</w:t>
      </w:r>
      <w:r w:rsidR="00162388" w:rsidRPr="00162388">
        <w:rPr>
          <w:rFonts w:asciiTheme="minorHAnsi" w:hAnsiTheme="minorHAnsi" w:cstheme="minorHAnsi"/>
          <w:b/>
          <w:bCs/>
          <w:i/>
          <w:iCs/>
          <w:szCs w:val="22"/>
        </w:rPr>
        <w:t xml:space="preserve">: </w:t>
      </w:r>
      <w:r w:rsidR="00162388" w:rsidRPr="00162388">
        <w:rPr>
          <w:b/>
          <w:bCs/>
          <w:i/>
          <w:iCs/>
        </w:rPr>
        <w:t xml:space="preserve">RAN4 to agree that EPRE side condition for reference cell and SSB-less </w:t>
      </w:r>
      <w:proofErr w:type="spellStart"/>
      <w:r w:rsidR="00162388" w:rsidRPr="00162388">
        <w:rPr>
          <w:b/>
          <w:bCs/>
          <w:i/>
          <w:iCs/>
        </w:rPr>
        <w:t>SCell</w:t>
      </w:r>
      <w:proofErr w:type="spellEnd"/>
      <w:r w:rsidR="00162388" w:rsidRPr="00162388">
        <w:rPr>
          <w:b/>
          <w:bCs/>
          <w:i/>
          <w:iCs/>
        </w:rPr>
        <w:t xml:space="preserve"> as [12 dB].</w:t>
      </w:r>
      <w:r w:rsidRPr="000221D3">
        <w:rPr>
          <w:b/>
          <w:bCs/>
          <w:i/>
          <w:iCs/>
          <w:lang w:val="en-US"/>
        </w:rPr>
        <w:fldChar w:fldCharType="end"/>
      </w:r>
    </w:p>
    <w:p w14:paraId="4393FAD2" w14:textId="5666FBE0" w:rsidR="000221D3" w:rsidRPr="000221D3" w:rsidRDefault="000221D3" w:rsidP="003548F1">
      <w:pPr>
        <w:jc w:val="both"/>
        <w:rPr>
          <w:b/>
          <w:bCs/>
          <w:i/>
          <w:iCs/>
          <w:lang w:val="en-US"/>
        </w:rPr>
      </w:pPr>
      <w:r w:rsidRPr="000221D3">
        <w:rPr>
          <w:b/>
          <w:bCs/>
          <w:i/>
          <w:iCs/>
          <w:lang w:val="en-US"/>
        </w:rPr>
        <w:fldChar w:fldCharType="begin"/>
      </w:r>
      <w:r w:rsidRPr="000221D3">
        <w:rPr>
          <w:b/>
          <w:bCs/>
          <w:i/>
          <w:iCs/>
          <w:lang w:val="en-US"/>
        </w:rPr>
        <w:instrText xml:space="preserve"> REF _Ref163308042 \h  \* MERGEFORMAT </w:instrText>
      </w:r>
      <w:r w:rsidRPr="000221D3">
        <w:rPr>
          <w:b/>
          <w:bCs/>
          <w:i/>
          <w:iCs/>
          <w:lang w:val="en-US"/>
        </w:rPr>
      </w:r>
      <w:r w:rsidRPr="000221D3">
        <w:rPr>
          <w:b/>
          <w:bCs/>
          <w:i/>
          <w:iCs/>
          <w:lang w:val="en-US"/>
        </w:rPr>
        <w:fldChar w:fldCharType="separate"/>
      </w:r>
      <w:r w:rsidR="00162388" w:rsidRPr="00162388">
        <w:rPr>
          <w:rFonts w:asciiTheme="minorHAnsi" w:hAnsiTheme="minorHAnsi" w:cstheme="minorHAnsi"/>
          <w:b/>
          <w:bCs/>
          <w:i/>
          <w:iCs/>
          <w:szCs w:val="22"/>
        </w:rPr>
        <w:t xml:space="preserve">Proposal </w:t>
      </w:r>
      <w:r w:rsidR="00162388" w:rsidRPr="00162388">
        <w:rPr>
          <w:rFonts w:asciiTheme="minorHAnsi" w:hAnsiTheme="minorHAnsi" w:cstheme="minorHAnsi"/>
          <w:b/>
          <w:bCs/>
          <w:i/>
          <w:iCs/>
          <w:noProof/>
          <w:szCs w:val="22"/>
        </w:rPr>
        <w:t>3</w:t>
      </w:r>
      <w:r w:rsidR="00162388" w:rsidRPr="00162388">
        <w:rPr>
          <w:rFonts w:asciiTheme="minorHAnsi" w:hAnsiTheme="minorHAnsi" w:cstheme="minorHAnsi"/>
          <w:b/>
          <w:bCs/>
          <w:i/>
          <w:iCs/>
          <w:szCs w:val="22"/>
        </w:rPr>
        <w:t xml:space="preserve">: </w:t>
      </w:r>
      <w:r w:rsidR="00162388" w:rsidRPr="00162388">
        <w:rPr>
          <w:b/>
          <w:bCs/>
          <w:i/>
          <w:iCs/>
        </w:rPr>
        <w:t>When a reference cell indication is not provided by the NW and multiple QCL type-C source cells are active, UE shall select the cell which has highest signal quality such as L1/L3-RSRP as default cell.</w:t>
      </w:r>
      <w:r w:rsidRPr="000221D3">
        <w:rPr>
          <w:b/>
          <w:bCs/>
          <w:i/>
          <w:iCs/>
          <w:lang w:val="en-US"/>
        </w:rPr>
        <w:fldChar w:fldCharType="end"/>
      </w:r>
    </w:p>
    <w:p w14:paraId="7476889D" w14:textId="3C1BFA59" w:rsidR="002F3AC9" w:rsidRDefault="00F359C8" w:rsidP="003548F1">
      <w:pPr>
        <w:jc w:val="both"/>
        <w:rPr>
          <w:b/>
          <w:bCs/>
          <w:i/>
          <w:iCs/>
          <w:lang w:val="en-US"/>
        </w:rPr>
      </w:pPr>
      <w:r>
        <w:rPr>
          <w:b/>
          <w:bCs/>
          <w:i/>
          <w:iCs/>
          <w:lang w:val="en-US"/>
        </w:rPr>
        <w:fldChar w:fldCharType="begin"/>
      </w:r>
      <w:r>
        <w:rPr>
          <w:b/>
          <w:bCs/>
          <w:i/>
          <w:iCs/>
          <w:lang w:val="en-US"/>
        </w:rPr>
        <w:instrText xml:space="preserve"> REF _Ref162619476 \h </w:instrText>
      </w:r>
      <w:r>
        <w:rPr>
          <w:b/>
          <w:bCs/>
          <w:i/>
          <w:iCs/>
          <w:lang w:val="en-US"/>
        </w:rPr>
      </w:r>
      <w:r>
        <w:rPr>
          <w:b/>
          <w:bCs/>
          <w:i/>
          <w:iCs/>
          <w:lang w:val="en-US"/>
        </w:rPr>
        <w:fldChar w:fldCharType="separate"/>
      </w:r>
      <w:r w:rsidR="00162388" w:rsidRPr="009A085B">
        <w:rPr>
          <w:rFonts w:asciiTheme="minorHAnsi" w:hAnsiTheme="minorHAnsi" w:cstheme="minorHAnsi"/>
          <w:b/>
          <w:bCs/>
          <w:i/>
          <w:szCs w:val="22"/>
        </w:rPr>
        <w:t xml:space="preserve">Proposal </w:t>
      </w:r>
      <w:r w:rsidR="00162388">
        <w:rPr>
          <w:rFonts w:asciiTheme="minorHAnsi" w:hAnsiTheme="minorHAnsi" w:cstheme="minorHAnsi"/>
          <w:b/>
          <w:bCs/>
          <w:i/>
          <w:noProof/>
          <w:szCs w:val="22"/>
        </w:rPr>
        <w:t>4</w:t>
      </w:r>
      <w:r w:rsidR="00162388" w:rsidRPr="009A085B">
        <w:rPr>
          <w:rFonts w:asciiTheme="minorHAnsi" w:hAnsiTheme="minorHAnsi" w:cstheme="minorHAnsi"/>
          <w:b/>
          <w:bCs/>
          <w:i/>
          <w:szCs w:val="22"/>
        </w:rPr>
        <w:t>:</w:t>
      </w:r>
      <w:r w:rsidR="00162388">
        <w:rPr>
          <w:rFonts w:asciiTheme="minorHAnsi" w:hAnsiTheme="minorHAnsi" w:cstheme="minorHAnsi"/>
          <w:b/>
          <w:bCs/>
          <w:i/>
          <w:szCs w:val="22"/>
        </w:rPr>
        <w:t xml:space="preserve"> Two options to solve the cell switch off issue in RAN4 are:</w:t>
      </w:r>
      <w:r>
        <w:rPr>
          <w:b/>
          <w:bCs/>
          <w:i/>
          <w:iCs/>
          <w:lang w:val="en-US"/>
        </w:rPr>
        <w:fldChar w:fldCharType="end"/>
      </w:r>
    </w:p>
    <w:p w14:paraId="191E3620" w14:textId="77777777" w:rsidR="00BE2EDA" w:rsidRPr="00DE7B02" w:rsidRDefault="00BE2EDA" w:rsidP="00D47DE0">
      <w:pPr>
        <w:pStyle w:val="ListParagraph"/>
        <w:numPr>
          <w:ilvl w:val="0"/>
          <w:numId w:val="7"/>
        </w:numPr>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before the DCI indication, UE shall execute the handover immediately</w:t>
      </w:r>
      <w:r>
        <w:rPr>
          <w:rFonts w:asciiTheme="minorHAnsi" w:hAnsiTheme="minorHAnsi" w:cstheme="minorHAnsi"/>
          <w:b/>
          <w:bCs/>
          <w:i/>
          <w:sz w:val="20"/>
          <w:szCs w:val="22"/>
          <w:lang w:val="en-GB"/>
        </w:rPr>
        <w:t xml:space="preserve"> after receiving the DCI indication</w:t>
      </w:r>
      <w:r w:rsidRPr="00DE7B02">
        <w:rPr>
          <w:rFonts w:asciiTheme="minorHAnsi" w:hAnsiTheme="minorHAnsi" w:cstheme="minorHAnsi"/>
          <w:b/>
          <w:bCs/>
          <w:i/>
          <w:sz w:val="20"/>
          <w:szCs w:val="22"/>
          <w:lang w:val="en-GB"/>
        </w:rPr>
        <w:t>.</w:t>
      </w:r>
    </w:p>
    <w:p w14:paraId="41B0AC17" w14:textId="77777777" w:rsidR="002F3AC9" w:rsidRPr="00DE7B02" w:rsidRDefault="002F3AC9" w:rsidP="002F3AC9">
      <w:pPr>
        <w:pStyle w:val="ListParagraph"/>
        <w:numPr>
          <w:ilvl w:val="0"/>
          <w:numId w:val="7"/>
        </w:numPr>
        <w:spacing w:before="120"/>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after the DCI indication, UE shall perform measurement based on SMTC only once receiving the DCI indication.</w:t>
      </w:r>
    </w:p>
    <w:p w14:paraId="2081996C" w14:textId="7D1B8DFD" w:rsidR="00F359C8" w:rsidRDefault="00F359C8" w:rsidP="00F359C8">
      <w:pPr>
        <w:spacing w:before="120"/>
        <w:jc w:val="both"/>
        <w:rPr>
          <w:lang w:val="en-US"/>
        </w:rPr>
      </w:pPr>
      <w:r>
        <w:rPr>
          <w:lang w:val="en-US"/>
        </w:rPr>
        <w:fldChar w:fldCharType="begin"/>
      </w:r>
      <w:r>
        <w:rPr>
          <w:lang w:val="en-US"/>
        </w:rPr>
        <w:instrText xml:space="preserve"> REF _Ref161340980 \h  \* MERGEFORMAT </w:instrText>
      </w:r>
      <w:r>
        <w:rPr>
          <w:lang w:val="en-US"/>
        </w:rPr>
      </w:r>
      <w:r>
        <w:rPr>
          <w:lang w:val="en-US"/>
        </w:rPr>
        <w:fldChar w:fldCharType="separate"/>
      </w:r>
      <w:r w:rsidR="00162388" w:rsidRPr="00DD0A32">
        <w:rPr>
          <w:rFonts w:asciiTheme="minorHAnsi" w:hAnsiTheme="minorHAnsi" w:cstheme="minorHAnsi"/>
          <w:b/>
          <w:bCs/>
          <w:i/>
          <w:szCs w:val="22"/>
        </w:rPr>
        <w:t xml:space="preserve">Proposal </w:t>
      </w:r>
      <w:r w:rsidR="00162388">
        <w:rPr>
          <w:rFonts w:asciiTheme="minorHAnsi" w:hAnsiTheme="minorHAnsi" w:cstheme="minorHAnsi"/>
          <w:b/>
          <w:bCs/>
          <w:i/>
          <w:noProof/>
          <w:szCs w:val="22"/>
        </w:rPr>
        <w:t>5</w:t>
      </w:r>
      <w:r w:rsidR="00162388" w:rsidRPr="00DD0A32">
        <w:rPr>
          <w:rFonts w:asciiTheme="minorHAnsi" w:hAnsiTheme="minorHAnsi" w:cstheme="minorHAnsi"/>
          <w:b/>
          <w:bCs/>
          <w:i/>
          <w:szCs w:val="22"/>
        </w:rPr>
        <w:t xml:space="preserve">: </w:t>
      </w:r>
      <w:r w:rsidR="00162388" w:rsidRPr="00162388">
        <w:rPr>
          <w:rFonts w:asciiTheme="minorHAnsi" w:hAnsiTheme="minorHAnsi" w:cstheme="minorHAnsi"/>
          <w:b/>
          <w:bCs/>
          <w:i/>
        </w:rPr>
        <w:t xml:space="preserve">When UE has received NES CHO configuration and a candidate cell fulfils the NES CHO condition, but the candidate cell no longer </w:t>
      </w:r>
      <w:proofErr w:type="spellStart"/>
      <w:r w:rsidR="00162388" w:rsidRPr="00162388">
        <w:rPr>
          <w:rFonts w:asciiTheme="minorHAnsi" w:hAnsiTheme="minorHAnsi" w:cstheme="minorHAnsi"/>
          <w:b/>
          <w:bCs/>
          <w:i/>
        </w:rPr>
        <w:t>filfills</w:t>
      </w:r>
      <w:proofErr w:type="spellEnd"/>
      <w:r w:rsidR="00162388" w:rsidRPr="00162388">
        <w:rPr>
          <w:rFonts w:asciiTheme="minorHAnsi" w:hAnsiTheme="minorHAnsi" w:cstheme="minorHAnsi"/>
          <w:b/>
          <w:bCs/>
          <w:i/>
        </w:rPr>
        <w:t xml:space="preserve"> the NES CHO condition when NES enabled DCI </w:t>
      </w:r>
      <w:proofErr w:type="spellStart"/>
      <w:r w:rsidR="00162388" w:rsidRPr="00162388">
        <w:rPr>
          <w:rFonts w:asciiTheme="minorHAnsi" w:hAnsiTheme="minorHAnsi" w:cstheme="minorHAnsi"/>
          <w:b/>
          <w:bCs/>
          <w:i/>
        </w:rPr>
        <w:t>indicatated</w:t>
      </w:r>
      <w:proofErr w:type="spellEnd"/>
      <w:r w:rsidR="00162388" w:rsidRPr="00162388">
        <w:rPr>
          <w:rFonts w:asciiTheme="minorHAnsi" w:hAnsiTheme="minorHAnsi" w:cstheme="minorHAnsi"/>
          <w:b/>
          <w:bCs/>
          <w:i/>
        </w:rPr>
        <w:t>, UE shall continue the measurement and evaluation and is not allowed to handover to the original candidate cell if it doesn’t meet the NES CHO condition</w:t>
      </w:r>
      <w:r w:rsidR="00162388" w:rsidRPr="00DD0A32">
        <w:rPr>
          <w:rFonts w:cs="v4.2.0"/>
          <w:b/>
          <w:bCs/>
          <w:i/>
        </w:rPr>
        <w:t>.</w:t>
      </w:r>
      <w:r>
        <w:rPr>
          <w:lang w:val="en-US"/>
        </w:rPr>
        <w:fldChar w:fldCharType="end"/>
      </w:r>
    </w:p>
    <w:p w14:paraId="1506E4E4" w14:textId="41F9FFAC" w:rsidR="006B4E45" w:rsidRDefault="006B4E45" w:rsidP="00BA0E19">
      <w:pPr>
        <w:jc w:val="both"/>
        <w:rPr>
          <w:lang w:val="en-US"/>
        </w:rPr>
      </w:pPr>
      <w:r>
        <w:rPr>
          <w:lang w:val="en-US"/>
        </w:rPr>
        <w:fldChar w:fldCharType="begin"/>
      </w:r>
      <w:r>
        <w:rPr>
          <w:lang w:val="en-US"/>
        </w:rPr>
        <w:instrText xml:space="preserve"> REF _Ref149658826 \h </w:instrText>
      </w:r>
      <w:r>
        <w:rPr>
          <w:lang w:val="en-US"/>
        </w:rPr>
      </w:r>
      <w:r>
        <w:rPr>
          <w:lang w:val="en-US"/>
        </w:rPr>
        <w:fldChar w:fldCharType="separate"/>
      </w:r>
      <w:r w:rsidR="00162388" w:rsidRPr="009A085B">
        <w:rPr>
          <w:rFonts w:asciiTheme="minorHAnsi" w:hAnsiTheme="minorHAnsi" w:cstheme="minorHAnsi"/>
          <w:b/>
          <w:bCs/>
          <w:i/>
          <w:szCs w:val="22"/>
        </w:rPr>
        <w:t xml:space="preserve">Proposal </w:t>
      </w:r>
      <w:r w:rsidR="00162388">
        <w:rPr>
          <w:rFonts w:asciiTheme="minorHAnsi" w:hAnsiTheme="minorHAnsi" w:cstheme="minorHAnsi"/>
          <w:b/>
          <w:bCs/>
          <w:i/>
          <w:noProof/>
          <w:szCs w:val="22"/>
        </w:rPr>
        <w:t>6</w:t>
      </w:r>
      <w:r w:rsidR="00162388" w:rsidRPr="009A085B">
        <w:rPr>
          <w:rFonts w:asciiTheme="minorHAnsi" w:hAnsiTheme="minorHAnsi" w:cstheme="minorHAnsi"/>
          <w:b/>
          <w:bCs/>
          <w:i/>
          <w:szCs w:val="22"/>
        </w:rPr>
        <w:t>:</w:t>
      </w:r>
      <w:r w:rsidR="00162388">
        <w:rPr>
          <w:rFonts w:asciiTheme="minorHAnsi" w:hAnsiTheme="minorHAnsi" w:cstheme="minorHAnsi"/>
          <w:b/>
          <w:bCs/>
          <w:i/>
          <w:szCs w:val="22"/>
        </w:rPr>
        <w:t xml:space="preserve"> RAN4 to study UE behaviour when </w:t>
      </w:r>
      <w:r w:rsidR="00162388" w:rsidRPr="00A344D6">
        <w:rPr>
          <w:rFonts w:asciiTheme="minorHAnsi" w:hAnsiTheme="minorHAnsi" w:cstheme="minorHAnsi"/>
          <w:b/>
          <w:bCs/>
          <w:i/>
          <w:szCs w:val="22"/>
        </w:rPr>
        <w:t>serving cell will switch off but the handover channel condition hasn’t met.</w:t>
      </w:r>
      <w:r>
        <w:rPr>
          <w:lang w:val="en-US"/>
        </w:rPr>
        <w:fldChar w:fldCharType="end"/>
      </w:r>
    </w:p>
    <w:bookmarkEnd w:id="15"/>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2041E640" w14:textId="50C5FB27" w:rsidR="00DE3A1B" w:rsidRPr="00D87CB0" w:rsidRDefault="00D87CB0" w:rsidP="00D87CB0">
      <w:pPr>
        <w:spacing w:before="120"/>
        <w:jc w:val="both"/>
        <w:rPr>
          <w:szCs w:val="18"/>
          <w:lang w:val="en-US"/>
        </w:rPr>
      </w:pPr>
      <w:r>
        <w:rPr>
          <w:szCs w:val="18"/>
        </w:rPr>
        <w:t xml:space="preserve">[1]. </w:t>
      </w:r>
      <w:r w:rsidR="008B3CA1" w:rsidRPr="00D87CB0">
        <w:rPr>
          <w:szCs w:val="18"/>
        </w:rPr>
        <w:t>R4-23</w:t>
      </w:r>
      <w:r w:rsidR="001E4EDA">
        <w:rPr>
          <w:szCs w:val="18"/>
        </w:rPr>
        <w:t>21562</w:t>
      </w:r>
      <w:r w:rsidR="008B3CA1" w:rsidRPr="00D87CB0">
        <w:rPr>
          <w:szCs w:val="18"/>
        </w:rPr>
        <w:t>, “</w:t>
      </w:r>
      <w:r w:rsidR="00BE6B81" w:rsidRPr="005413E1">
        <w:rPr>
          <w:szCs w:val="18"/>
        </w:rPr>
        <w:t>WF on RRM requirements for NR network energy saving</w:t>
      </w:r>
      <w:r w:rsidR="008B3CA1" w:rsidRPr="00D87CB0">
        <w:rPr>
          <w:szCs w:val="18"/>
        </w:rPr>
        <w:t xml:space="preserve">”, </w:t>
      </w:r>
      <w:r w:rsidR="005413E1" w:rsidRPr="005413E1">
        <w:rPr>
          <w:szCs w:val="18"/>
        </w:rPr>
        <w:t>Huawei, HiSilicon</w:t>
      </w:r>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CD196" w14:textId="77777777" w:rsidR="00111749" w:rsidRDefault="00111749">
      <w:r>
        <w:separator/>
      </w:r>
    </w:p>
  </w:endnote>
  <w:endnote w:type="continuationSeparator" w:id="0">
    <w:p w14:paraId="3D941CE6" w14:textId="77777777" w:rsidR="00111749" w:rsidRDefault="00111749">
      <w:r>
        <w:continuationSeparator/>
      </w:r>
    </w:p>
  </w:endnote>
  <w:endnote w:type="continuationNotice" w:id="1">
    <w:p w14:paraId="14BBDAB9" w14:textId="77777777" w:rsidR="00111749" w:rsidRDefault="00111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813AF" w14:textId="77777777" w:rsidR="00111749" w:rsidRDefault="00111749">
      <w:r>
        <w:separator/>
      </w:r>
    </w:p>
  </w:footnote>
  <w:footnote w:type="continuationSeparator" w:id="0">
    <w:p w14:paraId="0D74DF29" w14:textId="77777777" w:rsidR="00111749" w:rsidRDefault="00111749">
      <w:r>
        <w:continuationSeparator/>
      </w:r>
    </w:p>
  </w:footnote>
  <w:footnote w:type="continuationNotice" w:id="1">
    <w:p w14:paraId="76CE642A" w14:textId="77777777" w:rsidR="00111749" w:rsidRDefault="00111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615463"/>
    <w:multiLevelType w:val="hybridMultilevel"/>
    <w:tmpl w:val="3230B4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EA3C21"/>
    <w:multiLevelType w:val="hybridMultilevel"/>
    <w:tmpl w:val="7A9C325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3"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14"/>
  </w:num>
  <w:num w:numId="2" w16cid:durableId="612445978">
    <w:abstractNumId w:val="10"/>
  </w:num>
  <w:num w:numId="3" w16cid:durableId="1138261726">
    <w:abstractNumId w:val="12"/>
  </w:num>
  <w:num w:numId="4" w16cid:durableId="1644970340">
    <w:abstractNumId w:val="8"/>
  </w:num>
  <w:num w:numId="5" w16cid:durableId="840659286">
    <w:abstractNumId w:val="6"/>
  </w:num>
  <w:num w:numId="6" w16cid:durableId="977686242">
    <w:abstractNumId w:val="13"/>
  </w:num>
  <w:num w:numId="7" w16cid:durableId="1432044039">
    <w:abstractNumId w:val="5"/>
  </w:num>
  <w:num w:numId="8" w16cid:durableId="409548464">
    <w:abstractNumId w:val="4"/>
    <w:lvlOverride w:ilvl="0">
      <w:startOverride w:val="1"/>
    </w:lvlOverride>
  </w:num>
  <w:num w:numId="9" w16cid:durableId="2113355579">
    <w:abstractNumId w:val="11"/>
  </w:num>
  <w:num w:numId="10" w16cid:durableId="75829990">
    <w:abstractNumId w:val="0"/>
  </w:num>
  <w:num w:numId="11" w16cid:durableId="1780249740">
    <w:abstractNumId w:val="1"/>
  </w:num>
  <w:num w:numId="12" w16cid:durableId="478961521">
    <w:abstractNumId w:val="3"/>
  </w:num>
  <w:num w:numId="13" w16cid:durableId="1626740473">
    <w:abstractNumId w:val="2"/>
  </w:num>
  <w:num w:numId="14" w16cid:durableId="1129936477">
    <w:abstractNumId w:val="7"/>
  </w:num>
  <w:num w:numId="15" w16cid:durableId="6521752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101D5"/>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E30"/>
    <w:rsid w:val="00021F21"/>
    <w:rsid w:val="00022078"/>
    <w:rsid w:val="000221D3"/>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2E1C"/>
    <w:rsid w:val="00043107"/>
    <w:rsid w:val="00043BBB"/>
    <w:rsid w:val="00043F3F"/>
    <w:rsid w:val="00043F54"/>
    <w:rsid w:val="00044A1D"/>
    <w:rsid w:val="00045150"/>
    <w:rsid w:val="000455B9"/>
    <w:rsid w:val="000467E3"/>
    <w:rsid w:val="0004693A"/>
    <w:rsid w:val="000469D9"/>
    <w:rsid w:val="00046F95"/>
    <w:rsid w:val="0004704B"/>
    <w:rsid w:val="00047B85"/>
    <w:rsid w:val="000500AD"/>
    <w:rsid w:val="00050D4E"/>
    <w:rsid w:val="00050F94"/>
    <w:rsid w:val="0005125A"/>
    <w:rsid w:val="00051619"/>
    <w:rsid w:val="0005176F"/>
    <w:rsid w:val="00051F4B"/>
    <w:rsid w:val="00051FAD"/>
    <w:rsid w:val="00051FF5"/>
    <w:rsid w:val="00052FA7"/>
    <w:rsid w:val="00052FAD"/>
    <w:rsid w:val="00053103"/>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DA3"/>
    <w:rsid w:val="000742E8"/>
    <w:rsid w:val="00075010"/>
    <w:rsid w:val="0007541A"/>
    <w:rsid w:val="00075E04"/>
    <w:rsid w:val="00076035"/>
    <w:rsid w:val="00076F94"/>
    <w:rsid w:val="000770EC"/>
    <w:rsid w:val="00077EE5"/>
    <w:rsid w:val="00077EFD"/>
    <w:rsid w:val="00080A92"/>
    <w:rsid w:val="00080B31"/>
    <w:rsid w:val="000815B8"/>
    <w:rsid w:val="00081F9F"/>
    <w:rsid w:val="000821DC"/>
    <w:rsid w:val="000825DC"/>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683"/>
    <w:rsid w:val="00094AF4"/>
    <w:rsid w:val="00094E7D"/>
    <w:rsid w:val="00095434"/>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21B"/>
    <w:rsid w:val="000B1435"/>
    <w:rsid w:val="000B16F8"/>
    <w:rsid w:val="000B1E46"/>
    <w:rsid w:val="000B1ECC"/>
    <w:rsid w:val="000B21B8"/>
    <w:rsid w:val="000B21C5"/>
    <w:rsid w:val="000B2B1F"/>
    <w:rsid w:val="000B3663"/>
    <w:rsid w:val="000B37F1"/>
    <w:rsid w:val="000B38E9"/>
    <w:rsid w:val="000B46A2"/>
    <w:rsid w:val="000B488A"/>
    <w:rsid w:val="000B5449"/>
    <w:rsid w:val="000B5831"/>
    <w:rsid w:val="000B58A1"/>
    <w:rsid w:val="000B5DBE"/>
    <w:rsid w:val="000B5E32"/>
    <w:rsid w:val="000B7981"/>
    <w:rsid w:val="000C008B"/>
    <w:rsid w:val="000C038A"/>
    <w:rsid w:val="000C05ED"/>
    <w:rsid w:val="000C0DA1"/>
    <w:rsid w:val="000C13E6"/>
    <w:rsid w:val="000C1AF3"/>
    <w:rsid w:val="000C2F89"/>
    <w:rsid w:val="000C3557"/>
    <w:rsid w:val="000C4073"/>
    <w:rsid w:val="000C484B"/>
    <w:rsid w:val="000C4870"/>
    <w:rsid w:val="000C48A6"/>
    <w:rsid w:val="000C5232"/>
    <w:rsid w:val="000C526C"/>
    <w:rsid w:val="000C5D0E"/>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B46"/>
    <w:rsid w:val="000E0E0D"/>
    <w:rsid w:val="000E1C4B"/>
    <w:rsid w:val="000E1C9A"/>
    <w:rsid w:val="000E2319"/>
    <w:rsid w:val="000E257F"/>
    <w:rsid w:val="000E2638"/>
    <w:rsid w:val="000E2747"/>
    <w:rsid w:val="000E2999"/>
    <w:rsid w:val="000E3C50"/>
    <w:rsid w:val="000E3C71"/>
    <w:rsid w:val="000E4521"/>
    <w:rsid w:val="000E5172"/>
    <w:rsid w:val="000E5687"/>
    <w:rsid w:val="000E57FF"/>
    <w:rsid w:val="000E5B73"/>
    <w:rsid w:val="000E67A9"/>
    <w:rsid w:val="000E6865"/>
    <w:rsid w:val="000E6BF0"/>
    <w:rsid w:val="000F0200"/>
    <w:rsid w:val="000F0AFD"/>
    <w:rsid w:val="000F169D"/>
    <w:rsid w:val="000F19ED"/>
    <w:rsid w:val="000F1E50"/>
    <w:rsid w:val="000F2647"/>
    <w:rsid w:val="000F2656"/>
    <w:rsid w:val="000F287F"/>
    <w:rsid w:val="000F2C56"/>
    <w:rsid w:val="000F2CA4"/>
    <w:rsid w:val="000F2EA8"/>
    <w:rsid w:val="000F3E19"/>
    <w:rsid w:val="000F4598"/>
    <w:rsid w:val="000F4AD3"/>
    <w:rsid w:val="000F52D6"/>
    <w:rsid w:val="000F579A"/>
    <w:rsid w:val="000F5F52"/>
    <w:rsid w:val="000F6125"/>
    <w:rsid w:val="000F6193"/>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761"/>
    <w:rsid w:val="00104DD5"/>
    <w:rsid w:val="00104F71"/>
    <w:rsid w:val="0010548D"/>
    <w:rsid w:val="001055D9"/>
    <w:rsid w:val="001056CA"/>
    <w:rsid w:val="00105AF9"/>
    <w:rsid w:val="00105E92"/>
    <w:rsid w:val="00106137"/>
    <w:rsid w:val="001064C1"/>
    <w:rsid w:val="00110B4A"/>
    <w:rsid w:val="0011139F"/>
    <w:rsid w:val="00111444"/>
    <w:rsid w:val="001115A8"/>
    <w:rsid w:val="00111749"/>
    <w:rsid w:val="001125AF"/>
    <w:rsid w:val="001126F4"/>
    <w:rsid w:val="00112C5D"/>
    <w:rsid w:val="00112DE1"/>
    <w:rsid w:val="00113875"/>
    <w:rsid w:val="001138A8"/>
    <w:rsid w:val="00113DA3"/>
    <w:rsid w:val="00114FAB"/>
    <w:rsid w:val="00114FE3"/>
    <w:rsid w:val="001151F8"/>
    <w:rsid w:val="0011582F"/>
    <w:rsid w:val="00115CC5"/>
    <w:rsid w:val="00115E64"/>
    <w:rsid w:val="00116710"/>
    <w:rsid w:val="00116A6E"/>
    <w:rsid w:val="00116EF2"/>
    <w:rsid w:val="00117D5C"/>
    <w:rsid w:val="001207A2"/>
    <w:rsid w:val="00120BF2"/>
    <w:rsid w:val="0012101E"/>
    <w:rsid w:val="00121193"/>
    <w:rsid w:val="00121920"/>
    <w:rsid w:val="00122CC0"/>
    <w:rsid w:val="00122DC3"/>
    <w:rsid w:val="00124A64"/>
    <w:rsid w:val="00125366"/>
    <w:rsid w:val="001258D7"/>
    <w:rsid w:val="0012598B"/>
    <w:rsid w:val="00126210"/>
    <w:rsid w:val="00126681"/>
    <w:rsid w:val="001269F1"/>
    <w:rsid w:val="001274C0"/>
    <w:rsid w:val="00127F56"/>
    <w:rsid w:val="00130702"/>
    <w:rsid w:val="001308C8"/>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2388"/>
    <w:rsid w:val="00164518"/>
    <w:rsid w:val="001645F4"/>
    <w:rsid w:val="00164A49"/>
    <w:rsid w:val="00164AC3"/>
    <w:rsid w:val="00165483"/>
    <w:rsid w:val="0016606A"/>
    <w:rsid w:val="00166376"/>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E5"/>
    <w:rsid w:val="0018479C"/>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970"/>
    <w:rsid w:val="001A1D4E"/>
    <w:rsid w:val="001A2589"/>
    <w:rsid w:val="001A29A5"/>
    <w:rsid w:val="001A2A37"/>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1BE"/>
    <w:rsid w:val="001C13E2"/>
    <w:rsid w:val="001C21C4"/>
    <w:rsid w:val="001C2204"/>
    <w:rsid w:val="001C3040"/>
    <w:rsid w:val="001C30B7"/>
    <w:rsid w:val="001C3CED"/>
    <w:rsid w:val="001C486E"/>
    <w:rsid w:val="001C4BAD"/>
    <w:rsid w:val="001C5023"/>
    <w:rsid w:val="001C5226"/>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89"/>
    <w:rsid w:val="001D6AEA"/>
    <w:rsid w:val="001D6B68"/>
    <w:rsid w:val="001D760C"/>
    <w:rsid w:val="001D7B41"/>
    <w:rsid w:val="001D7E97"/>
    <w:rsid w:val="001D7EF1"/>
    <w:rsid w:val="001E036B"/>
    <w:rsid w:val="001E063C"/>
    <w:rsid w:val="001E070D"/>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17F44"/>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BF3"/>
    <w:rsid w:val="00232C37"/>
    <w:rsid w:val="00233C29"/>
    <w:rsid w:val="00234FF6"/>
    <w:rsid w:val="002356C8"/>
    <w:rsid w:val="00235D6D"/>
    <w:rsid w:val="00236312"/>
    <w:rsid w:val="00236802"/>
    <w:rsid w:val="00237349"/>
    <w:rsid w:val="002376D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6F43"/>
    <w:rsid w:val="00287FB5"/>
    <w:rsid w:val="0029126A"/>
    <w:rsid w:val="0029137E"/>
    <w:rsid w:val="00291AC4"/>
    <w:rsid w:val="002925F7"/>
    <w:rsid w:val="00292933"/>
    <w:rsid w:val="00292B5B"/>
    <w:rsid w:val="0029323D"/>
    <w:rsid w:val="002934B0"/>
    <w:rsid w:val="002936BC"/>
    <w:rsid w:val="00293C6F"/>
    <w:rsid w:val="00293E27"/>
    <w:rsid w:val="002941FB"/>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7F0"/>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3880"/>
    <w:rsid w:val="002D3E0E"/>
    <w:rsid w:val="002D3F64"/>
    <w:rsid w:val="002D4074"/>
    <w:rsid w:val="002D447B"/>
    <w:rsid w:val="002D4E22"/>
    <w:rsid w:val="002D502E"/>
    <w:rsid w:val="002D5098"/>
    <w:rsid w:val="002D6246"/>
    <w:rsid w:val="002D68DB"/>
    <w:rsid w:val="002D75CB"/>
    <w:rsid w:val="002D7EE4"/>
    <w:rsid w:val="002E0403"/>
    <w:rsid w:val="002E0F49"/>
    <w:rsid w:val="002E1CEE"/>
    <w:rsid w:val="002E1EE8"/>
    <w:rsid w:val="002E27CD"/>
    <w:rsid w:val="002E320F"/>
    <w:rsid w:val="002E33CD"/>
    <w:rsid w:val="002E3947"/>
    <w:rsid w:val="002E3B7C"/>
    <w:rsid w:val="002E4205"/>
    <w:rsid w:val="002E59A4"/>
    <w:rsid w:val="002E5F4D"/>
    <w:rsid w:val="002E6494"/>
    <w:rsid w:val="002E67F0"/>
    <w:rsid w:val="002E7C6B"/>
    <w:rsid w:val="002F028F"/>
    <w:rsid w:val="002F088E"/>
    <w:rsid w:val="002F0AA0"/>
    <w:rsid w:val="002F0D76"/>
    <w:rsid w:val="002F1135"/>
    <w:rsid w:val="002F1A33"/>
    <w:rsid w:val="002F1B68"/>
    <w:rsid w:val="002F228E"/>
    <w:rsid w:val="002F24CE"/>
    <w:rsid w:val="002F30BE"/>
    <w:rsid w:val="002F32B2"/>
    <w:rsid w:val="002F340F"/>
    <w:rsid w:val="002F3AC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6021"/>
    <w:rsid w:val="0032662C"/>
    <w:rsid w:val="00326806"/>
    <w:rsid w:val="0032778A"/>
    <w:rsid w:val="003279E0"/>
    <w:rsid w:val="003324CE"/>
    <w:rsid w:val="003324E0"/>
    <w:rsid w:val="00332928"/>
    <w:rsid w:val="00332CD8"/>
    <w:rsid w:val="0033318D"/>
    <w:rsid w:val="0033463A"/>
    <w:rsid w:val="003350E5"/>
    <w:rsid w:val="003352BA"/>
    <w:rsid w:val="00336454"/>
    <w:rsid w:val="00336875"/>
    <w:rsid w:val="00336929"/>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1F49"/>
    <w:rsid w:val="00362568"/>
    <w:rsid w:val="00362738"/>
    <w:rsid w:val="00363F28"/>
    <w:rsid w:val="00364262"/>
    <w:rsid w:val="003645D7"/>
    <w:rsid w:val="0036497A"/>
    <w:rsid w:val="003649F1"/>
    <w:rsid w:val="00364F60"/>
    <w:rsid w:val="00365140"/>
    <w:rsid w:val="00366393"/>
    <w:rsid w:val="00366493"/>
    <w:rsid w:val="00367644"/>
    <w:rsid w:val="003678BD"/>
    <w:rsid w:val="00367B27"/>
    <w:rsid w:val="003707D3"/>
    <w:rsid w:val="0037137D"/>
    <w:rsid w:val="00371DE3"/>
    <w:rsid w:val="0037222E"/>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8792A"/>
    <w:rsid w:val="003901EA"/>
    <w:rsid w:val="003905F3"/>
    <w:rsid w:val="003917CB"/>
    <w:rsid w:val="00391BA4"/>
    <w:rsid w:val="003926AA"/>
    <w:rsid w:val="003929F6"/>
    <w:rsid w:val="00392E11"/>
    <w:rsid w:val="00392F6F"/>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1EF"/>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1460"/>
    <w:rsid w:val="003F1537"/>
    <w:rsid w:val="003F1645"/>
    <w:rsid w:val="003F18E2"/>
    <w:rsid w:val="003F214E"/>
    <w:rsid w:val="003F2400"/>
    <w:rsid w:val="003F29F1"/>
    <w:rsid w:val="003F31F2"/>
    <w:rsid w:val="003F3B11"/>
    <w:rsid w:val="003F3B29"/>
    <w:rsid w:val="003F3C44"/>
    <w:rsid w:val="003F42E5"/>
    <w:rsid w:val="003F53E4"/>
    <w:rsid w:val="003F59EB"/>
    <w:rsid w:val="003F5E14"/>
    <w:rsid w:val="003F62C6"/>
    <w:rsid w:val="003F6649"/>
    <w:rsid w:val="003F68E8"/>
    <w:rsid w:val="003F73B1"/>
    <w:rsid w:val="00400142"/>
    <w:rsid w:val="0040016B"/>
    <w:rsid w:val="00400745"/>
    <w:rsid w:val="00400971"/>
    <w:rsid w:val="0040108B"/>
    <w:rsid w:val="004011D8"/>
    <w:rsid w:val="0040163E"/>
    <w:rsid w:val="00401A35"/>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BF9"/>
    <w:rsid w:val="00412DDE"/>
    <w:rsid w:val="004134B3"/>
    <w:rsid w:val="00413F7E"/>
    <w:rsid w:val="0041407D"/>
    <w:rsid w:val="004162C3"/>
    <w:rsid w:val="0041668A"/>
    <w:rsid w:val="00416EFC"/>
    <w:rsid w:val="00416F7B"/>
    <w:rsid w:val="0041701C"/>
    <w:rsid w:val="00420051"/>
    <w:rsid w:val="00420235"/>
    <w:rsid w:val="00420247"/>
    <w:rsid w:val="004209A9"/>
    <w:rsid w:val="00420C31"/>
    <w:rsid w:val="00422350"/>
    <w:rsid w:val="00422985"/>
    <w:rsid w:val="00422F72"/>
    <w:rsid w:val="0042343D"/>
    <w:rsid w:val="00423E3B"/>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CC"/>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64B4"/>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5918"/>
    <w:rsid w:val="004664A1"/>
    <w:rsid w:val="00466F11"/>
    <w:rsid w:val="00467FA8"/>
    <w:rsid w:val="0047059F"/>
    <w:rsid w:val="00470D55"/>
    <w:rsid w:val="00470DDB"/>
    <w:rsid w:val="00471092"/>
    <w:rsid w:val="00471B88"/>
    <w:rsid w:val="00471C7C"/>
    <w:rsid w:val="004725B8"/>
    <w:rsid w:val="0047268C"/>
    <w:rsid w:val="00472A37"/>
    <w:rsid w:val="00472BA9"/>
    <w:rsid w:val="004733E1"/>
    <w:rsid w:val="00473569"/>
    <w:rsid w:val="004739C0"/>
    <w:rsid w:val="00473D5F"/>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5369"/>
    <w:rsid w:val="004A73A8"/>
    <w:rsid w:val="004A7485"/>
    <w:rsid w:val="004A78FD"/>
    <w:rsid w:val="004B0AB6"/>
    <w:rsid w:val="004B0EEF"/>
    <w:rsid w:val="004B0F4B"/>
    <w:rsid w:val="004B119A"/>
    <w:rsid w:val="004B1C94"/>
    <w:rsid w:val="004B1EC1"/>
    <w:rsid w:val="004B2118"/>
    <w:rsid w:val="004B2CE4"/>
    <w:rsid w:val="004B329D"/>
    <w:rsid w:val="004B3939"/>
    <w:rsid w:val="004B3B05"/>
    <w:rsid w:val="004B42D1"/>
    <w:rsid w:val="004B482A"/>
    <w:rsid w:val="004B49FD"/>
    <w:rsid w:val="004B4C95"/>
    <w:rsid w:val="004B4FE2"/>
    <w:rsid w:val="004B500C"/>
    <w:rsid w:val="004B5B03"/>
    <w:rsid w:val="004B67EE"/>
    <w:rsid w:val="004B748A"/>
    <w:rsid w:val="004B7528"/>
    <w:rsid w:val="004B75B7"/>
    <w:rsid w:val="004B7D80"/>
    <w:rsid w:val="004B7F14"/>
    <w:rsid w:val="004C0356"/>
    <w:rsid w:val="004C1496"/>
    <w:rsid w:val="004C16D7"/>
    <w:rsid w:val="004C1BE2"/>
    <w:rsid w:val="004C1D54"/>
    <w:rsid w:val="004C2AA5"/>
    <w:rsid w:val="004C2AF8"/>
    <w:rsid w:val="004C353A"/>
    <w:rsid w:val="004C35DE"/>
    <w:rsid w:val="004C3904"/>
    <w:rsid w:val="004C3964"/>
    <w:rsid w:val="004C4996"/>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2EF1"/>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5EB"/>
    <w:rsid w:val="00563781"/>
    <w:rsid w:val="00563D58"/>
    <w:rsid w:val="00564941"/>
    <w:rsid w:val="00564BA9"/>
    <w:rsid w:val="0056526A"/>
    <w:rsid w:val="00565333"/>
    <w:rsid w:val="005655DF"/>
    <w:rsid w:val="005659E7"/>
    <w:rsid w:val="00565AF0"/>
    <w:rsid w:val="00565D55"/>
    <w:rsid w:val="00565DF4"/>
    <w:rsid w:val="005677DD"/>
    <w:rsid w:val="0057083A"/>
    <w:rsid w:val="0057094C"/>
    <w:rsid w:val="00570CCA"/>
    <w:rsid w:val="00571884"/>
    <w:rsid w:val="005726F5"/>
    <w:rsid w:val="00572880"/>
    <w:rsid w:val="00572D5A"/>
    <w:rsid w:val="00573585"/>
    <w:rsid w:val="0057398B"/>
    <w:rsid w:val="005740DE"/>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3A4B"/>
    <w:rsid w:val="005B4372"/>
    <w:rsid w:val="005B4917"/>
    <w:rsid w:val="005B50FA"/>
    <w:rsid w:val="005B5717"/>
    <w:rsid w:val="005B5FC2"/>
    <w:rsid w:val="005B70B1"/>
    <w:rsid w:val="005B7164"/>
    <w:rsid w:val="005B7345"/>
    <w:rsid w:val="005B7488"/>
    <w:rsid w:val="005B782B"/>
    <w:rsid w:val="005C0314"/>
    <w:rsid w:val="005C0539"/>
    <w:rsid w:val="005C106F"/>
    <w:rsid w:val="005C1535"/>
    <w:rsid w:val="005C2DCD"/>
    <w:rsid w:val="005C37DA"/>
    <w:rsid w:val="005C37F3"/>
    <w:rsid w:val="005C39D2"/>
    <w:rsid w:val="005C522D"/>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D89"/>
    <w:rsid w:val="005D5D90"/>
    <w:rsid w:val="005D5DFC"/>
    <w:rsid w:val="005D6059"/>
    <w:rsid w:val="005D639B"/>
    <w:rsid w:val="005D68AD"/>
    <w:rsid w:val="005D7266"/>
    <w:rsid w:val="005D7669"/>
    <w:rsid w:val="005D7D85"/>
    <w:rsid w:val="005E1838"/>
    <w:rsid w:val="005E1DEB"/>
    <w:rsid w:val="005E2019"/>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2B62"/>
    <w:rsid w:val="005F2FE2"/>
    <w:rsid w:val="005F3A0F"/>
    <w:rsid w:val="005F40B5"/>
    <w:rsid w:val="005F4821"/>
    <w:rsid w:val="005F48B1"/>
    <w:rsid w:val="005F509F"/>
    <w:rsid w:val="005F55AF"/>
    <w:rsid w:val="005F57E9"/>
    <w:rsid w:val="005F5E35"/>
    <w:rsid w:val="005F60A7"/>
    <w:rsid w:val="005F6A73"/>
    <w:rsid w:val="005F6B72"/>
    <w:rsid w:val="005F7500"/>
    <w:rsid w:val="005F758B"/>
    <w:rsid w:val="006003E1"/>
    <w:rsid w:val="00600409"/>
    <w:rsid w:val="00600EF9"/>
    <w:rsid w:val="00601005"/>
    <w:rsid w:val="0060112A"/>
    <w:rsid w:val="00601CF5"/>
    <w:rsid w:val="006024C2"/>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27"/>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C44"/>
    <w:rsid w:val="00644429"/>
    <w:rsid w:val="0064472F"/>
    <w:rsid w:val="00645485"/>
    <w:rsid w:val="0064566C"/>
    <w:rsid w:val="0064607F"/>
    <w:rsid w:val="006461F6"/>
    <w:rsid w:val="006464D9"/>
    <w:rsid w:val="0064673C"/>
    <w:rsid w:val="006474A8"/>
    <w:rsid w:val="006479E9"/>
    <w:rsid w:val="00647E46"/>
    <w:rsid w:val="00650AEF"/>
    <w:rsid w:val="006512A1"/>
    <w:rsid w:val="00651523"/>
    <w:rsid w:val="00651837"/>
    <w:rsid w:val="00651892"/>
    <w:rsid w:val="00651A4B"/>
    <w:rsid w:val="00651B8F"/>
    <w:rsid w:val="006522FB"/>
    <w:rsid w:val="00652489"/>
    <w:rsid w:val="00652555"/>
    <w:rsid w:val="00652581"/>
    <w:rsid w:val="006530BC"/>
    <w:rsid w:val="006535C9"/>
    <w:rsid w:val="00654A9B"/>
    <w:rsid w:val="006552FD"/>
    <w:rsid w:val="00656677"/>
    <w:rsid w:val="00656CCB"/>
    <w:rsid w:val="00656E1B"/>
    <w:rsid w:val="0065731B"/>
    <w:rsid w:val="00657A29"/>
    <w:rsid w:val="00657C80"/>
    <w:rsid w:val="00660147"/>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023"/>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593"/>
    <w:rsid w:val="006A0792"/>
    <w:rsid w:val="006A0C8A"/>
    <w:rsid w:val="006A15DB"/>
    <w:rsid w:val="006A1707"/>
    <w:rsid w:val="006A1A8D"/>
    <w:rsid w:val="006A1DB4"/>
    <w:rsid w:val="006A1F9C"/>
    <w:rsid w:val="006A2112"/>
    <w:rsid w:val="006A2808"/>
    <w:rsid w:val="006A2819"/>
    <w:rsid w:val="006A2FFE"/>
    <w:rsid w:val="006A477D"/>
    <w:rsid w:val="006A4A34"/>
    <w:rsid w:val="006A6104"/>
    <w:rsid w:val="006A6A2F"/>
    <w:rsid w:val="006A6B2A"/>
    <w:rsid w:val="006A6D08"/>
    <w:rsid w:val="006A6D76"/>
    <w:rsid w:val="006A709D"/>
    <w:rsid w:val="006A790F"/>
    <w:rsid w:val="006B1456"/>
    <w:rsid w:val="006B1964"/>
    <w:rsid w:val="006B1C2F"/>
    <w:rsid w:val="006B30C2"/>
    <w:rsid w:val="006B31EC"/>
    <w:rsid w:val="006B33C3"/>
    <w:rsid w:val="006B386D"/>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5E6"/>
    <w:rsid w:val="006C16B9"/>
    <w:rsid w:val="006C1D4D"/>
    <w:rsid w:val="006C1F50"/>
    <w:rsid w:val="006C2272"/>
    <w:rsid w:val="006C2932"/>
    <w:rsid w:val="006C2B34"/>
    <w:rsid w:val="006C3742"/>
    <w:rsid w:val="006C3854"/>
    <w:rsid w:val="006C3955"/>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2D23"/>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1C5B"/>
    <w:rsid w:val="00703659"/>
    <w:rsid w:val="00703BE2"/>
    <w:rsid w:val="00703CF2"/>
    <w:rsid w:val="0070403C"/>
    <w:rsid w:val="0070411E"/>
    <w:rsid w:val="00704269"/>
    <w:rsid w:val="0070427F"/>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E73"/>
    <w:rsid w:val="00730292"/>
    <w:rsid w:val="007313DF"/>
    <w:rsid w:val="00731510"/>
    <w:rsid w:val="007319D5"/>
    <w:rsid w:val="00731F69"/>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0BC"/>
    <w:rsid w:val="0074196E"/>
    <w:rsid w:val="00742DE4"/>
    <w:rsid w:val="00743550"/>
    <w:rsid w:val="0074380F"/>
    <w:rsid w:val="00743B6A"/>
    <w:rsid w:val="00743DD2"/>
    <w:rsid w:val="0074418C"/>
    <w:rsid w:val="0074467A"/>
    <w:rsid w:val="00744952"/>
    <w:rsid w:val="00745545"/>
    <w:rsid w:val="00745E43"/>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80336"/>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6C5"/>
    <w:rsid w:val="00797756"/>
    <w:rsid w:val="007979D2"/>
    <w:rsid w:val="00797AA9"/>
    <w:rsid w:val="007A010A"/>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D87"/>
    <w:rsid w:val="007B214E"/>
    <w:rsid w:val="007B2271"/>
    <w:rsid w:val="007B2612"/>
    <w:rsid w:val="007B2B4E"/>
    <w:rsid w:val="007B2D50"/>
    <w:rsid w:val="007B2D64"/>
    <w:rsid w:val="007B336B"/>
    <w:rsid w:val="007B351E"/>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A6C"/>
    <w:rsid w:val="007C1D68"/>
    <w:rsid w:val="007C2097"/>
    <w:rsid w:val="007C2536"/>
    <w:rsid w:val="007C2B0B"/>
    <w:rsid w:val="007C332E"/>
    <w:rsid w:val="007C6851"/>
    <w:rsid w:val="007C6A33"/>
    <w:rsid w:val="007C6FC5"/>
    <w:rsid w:val="007C70BE"/>
    <w:rsid w:val="007C7C38"/>
    <w:rsid w:val="007D0925"/>
    <w:rsid w:val="007D0BEE"/>
    <w:rsid w:val="007D1002"/>
    <w:rsid w:val="007D102E"/>
    <w:rsid w:val="007D1118"/>
    <w:rsid w:val="007D1570"/>
    <w:rsid w:val="007D2014"/>
    <w:rsid w:val="007D3731"/>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F89"/>
    <w:rsid w:val="007F32B1"/>
    <w:rsid w:val="007F3DAB"/>
    <w:rsid w:val="007F4677"/>
    <w:rsid w:val="007F47AC"/>
    <w:rsid w:val="007F4A6D"/>
    <w:rsid w:val="007F4E11"/>
    <w:rsid w:val="007F63C8"/>
    <w:rsid w:val="007F7200"/>
    <w:rsid w:val="007F77A9"/>
    <w:rsid w:val="007F7C4C"/>
    <w:rsid w:val="007F7C71"/>
    <w:rsid w:val="00800C5B"/>
    <w:rsid w:val="00801717"/>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2C96"/>
    <w:rsid w:val="0081307E"/>
    <w:rsid w:val="008136B4"/>
    <w:rsid w:val="00813C54"/>
    <w:rsid w:val="00814367"/>
    <w:rsid w:val="008143C6"/>
    <w:rsid w:val="00814973"/>
    <w:rsid w:val="00814B1D"/>
    <w:rsid w:val="00814B85"/>
    <w:rsid w:val="008150D9"/>
    <w:rsid w:val="008153BC"/>
    <w:rsid w:val="00815F5A"/>
    <w:rsid w:val="00816D63"/>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E22"/>
    <w:rsid w:val="00825F9F"/>
    <w:rsid w:val="008269E1"/>
    <w:rsid w:val="00826BD9"/>
    <w:rsid w:val="008271F2"/>
    <w:rsid w:val="00827950"/>
    <w:rsid w:val="008279FA"/>
    <w:rsid w:val="00830210"/>
    <w:rsid w:val="008302B3"/>
    <w:rsid w:val="0083046E"/>
    <w:rsid w:val="00830614"/>
    <w:rsid w:val="00830771"/>
    <w:rsid w:val="00830921"/>
    <w:rsid w:val="00830C61"/>
    <w:rsid w:val="00831D41"/>
    <w:rsid w:val="00832320"/>
    <w:rsid w:val="00832512"/>
    <w:rsid w:val="00832AAB"/>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1CD"/>
    <w:rsid w:val="008A64C4"/>
    <w:rsid w:val="008A6579"/>
    <w:rsid w:val="008A66C8"/>
    <w:rsid w:val="008A7459"/>
    <w:rsid w:val="008A7566"/>
    <w:rsid w:val="008A7595"/>
    <w:rsid w:val="008A7668"/>
    <w:rsid w:val="008A7700"/>
    <w:rsid w:val="008B00E0"/>
    <w:rsid w:val="008B0E8E"/>
    <w:rsid w:val="008B10C2"/>
    <w:rsid w:val="008B11F8"/>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00"/>
    <w:rsid w:val="008D0F70"/>
    <w:rsid w:val="008D10E4"/>
    <w:rsid w:val="008D1F1F"/>
    <w:rsid w:val="008D2387"/>
    <w:rsid w:val="008D2747"/>
    <w:rsid w:val="008D2EC5"/>
    <w:rsid w:val="008D2FDE"/>
    <w:rsid w:val="008D3BDC"/>
    <w:rsid w:val="008D3C52"/>
    <w:rsid w:val="008D4129"/>
    <w:rsid w:val="008D445D"/>
    <w:rsid w:val="008D4AA3"/>
    <w:rsid w:val="008D4AF7"/>
    <w:rsid w:val="008D4BF0"/>
    <w:rsid w:val="008D5068"/>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857"/>
    <w:rsid w:val="008F2B7C"/>
    <w:rsid w:val="008F2C14"/>
    <w:rsid w:val="008F33F6"/>
    <w:rsid w:val="008F3604"/>
    <w:rsid w:val="008F45DA"/>
    <w:rsid w:val="008F4A22"/>
    <w:rsid w:val="008F4C3E"/>
    <w:rsid w:val="008F549F"/>
    <w:rsid w:val="008F572F"/>
    <w:rsid w:val="008F5953"/>
    <w:rsid w:val="008F5B08"/>
    <w:rsid w:val="008F686C"/>
    <w:rsid w:val="008F6F75"/>
    <w:rsid w:val="008F791D"/>
    <w:rsid w:val="008F7D17"/>
    <w:rsid w:val="009001C6"/>
    <w:rsid w:val="0090021A"/>
    <w:rsid w:val="00901278"/>
    <w:rsid w:val="00901303"/>
    <w:rsid w:val="0090193B"/>
    <w:rsid w:val="00901E8E"/>
    <w:rsid w:val="009026A4"/>
    <w:rsid w:val="00903682"/>
    <w:rsid w:val="00903B46"/>
    <w:rsid w:val="00903E00"/>
    <w:rsid w:val="0090501B"/>
    <w:rsid w:val="009051DC"/>
    <w:rsid w:val="00905803"/>
    <w:rsid w:val="009058E6"/>
    <w:rsid w:val="00906CF2"/>
    <w:rsid w:val="00906F20"/>
    <w:rsid w:val="009078C7"/>
    <w:rsid w:val="009109FD"/>
    <w:rsid w:val="009114B0"/>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3F0F"/>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A0E"/>
    <w:rsid w:val="00957B16"/>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40F"/>
    <w:rsid w:val="00963904"/>
    <w:rsid w:val="0096413F"/>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4C50"/>
    <w:rsid w:val="00975053"/>
    <w:rsid w:val="00975164"/>
    <w:rsid w:val="00975BBB"/>
    <w:rsid w:val="00976236"/>
    <w:rsid w:val="009776EE"/>
    <w:rsid w:val="009777D9"/>
    <w:rsid w:val="009808A2"/>
    <w:rsid w:val="009811CE"/>
    <w:rsid w:val="0098188F"/>
    <w:rsid w:val="009828FE"/>
    <w:rsid w:val="00982BD6"/>
    <w:rsid w:val="009837FE"/>
    <w:rsid w:val="00983BDF"/>
    <w:rsid w:val="0098507E"/>
    <w:rsid w:val="00985260"/>
    <w:rsid w:val="0098535C"/>
    <w:rsid w:val="0098580E"/>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461C"/>
    <w:rsid w:val="00994A63"/>
    <w:rsid w:val="00994B13"/>
    <w:rsid w:val="00995E4E"/>
    <w:rsid w:val="00995F87"/>
    <w:rsid w:val="0099606D"/>
    <w:rsid w:val="0099651F"/>
    <w:rsid w:val="00997179"/>
    <w:rsid w:val="00997593"/>
    <w:rsid w:val="009A04CC"/>
    <w:rsid w:val="009A0747"/>
    <w:rsid w:val="009A0EE2"/>
    <w:rsid w:val="009A276A"/>
    <w:rsid w:val="009A2810"/>
    <w:rsid w:val="009A2DEB"/>
    <w:rsid w:val="009A3168"/>
    <w:rsid w:val="009A3564"/>
    <w:rsid w:val="009A579D"/>
    <w:rsid w:val="009A5B43"/>
    <w:rsid w:val="009A6109"/>
    <w:rsid w:val="009A6811"/>
    <w:rsid w:val="009A6F8D"/>
    <w:rsid w:val="009A7C12"/>
    <w:rsid w:val="009A7C8E"/>
    <w:rsid w:val="009A7FEA"/>
    <w:rsid w:val="009B02B8"/>
    <w:rsid w:val="009B05F4"/>
    <w:rsid w:val="009B0981"/>
    <w:rsid w:val="009B1055"/>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EAA"/>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6991"/>
    <w:rsid w:val="00A16E02"/>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59B9"/>
    <w:rsid w:val="00A26054"/>
    <w:rsid w:val="00A26FEA"/>
    <w:rsid w:val="00A272D7"/>
    <w:rsid w:val="00A27530"/>
    <w:rsid w:val="00A27775"/>
    <w:rsid w:val="00A27CB4"/>
    <w:rsid w:val="00A31721"/>
    <w:rsid w:val="00A323EF"/>
    <w:rsid w:val="00A3249F"/>
    <w:rsid w:val="00A3271F"/>
    <w:rsid w:val="00A327EA"/>
    <w:rsid w:val="00A328BA"/>
    <w:rsid w:val="00A32976"/>
    <w:rsid w:val="00A32A88"/>
    <w:rsid w:val="00A33834"/>
    <w:rsid w:val="00A344D6"/>
    <w:rsid w:val="00A3450C"/>
    <w:rsid w:val="00A3474E"/>
    <w:rsid w:val="00A35F56"/>
    <w:rsid w:val="00A36590"/>
    <w:rsid w:val="00A36CB6"/>
    <w:rsid w:val="00A377FB"/>
    <w:rsid w:val="00A3788C"/>
    <w:rsid w:val="00A37999"/>
    <w:rsid w:val="00A40211"/>
    <w:rsid w:val="00A40AE3"/>
    <w:rsid w:val="00A41F5B"/>
    <w:rsid w:val="00A41F5E"/>
    <w:rsid w:val="00A4293B"/>
    <w:rsid w:val="00A42D9F"/>
    <w:rsid w:val="00A436DD"/>
    <w:rsid w:val="00A43BAF"/>
    <w:rsid w:val="00A43C75"/>
    <w:rsid w:val="00A44078"/>
    <w:rsid w:val="00A443F6"/>
    <w:rsid w:val="00A448B7"/>
    <w:rsid w:val="00A44DBE"/>
    <w:rsid w:val="00A44EAA"/>
    <w:rsid w:val="00A45568"/>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60084"/>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2E"/>
    <w:rsid w:val="00A963DA"/>
    <w:rsid w:val="00A96713"/>
    <w:rsid w:val="00A976D0"/>
    <w:rsid w:val="00AA035D"/>
    <w:rsid w:val="00AA0446"/>
    <w:rsid w:val="00AA0E65"/>
    <w:rsid w:val="00AA2805"/>
    <w:rsid w:val="00AA29D5"/>
    <w:rsid w:val="00AA2A6B"/>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307E"/>
    <w:rsid w:val="00AB403A"/>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3C37"/>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356"/>
    <w:rsid w:val="00B11521"/>
    <w:rsid w:val="00B11734"/>
    <w:rsid w:val="00B11E28"/>
    <w:rsid w:val="00B122C3"/>
    <w:rsid w:val="00B12BBB"/>
    <w:rsid w:val="00B13026"/>
    <w:rsid w:val="00B13091"/>
    <w:rsid w:val="00B13472"/>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1B6D"/>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410"/>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EBE"/>
    <w:rsid w:val="00B4737C"/>
    <w:rsid w:val="00B47739"/>
    <w:rsid w:val="00B47B3C"/>
    <w:rsid w:val="00B505FA"/>
    <w:rsid w:val="00B50BD8"/>
    <w:rsid w:val="00B50C8F"/>
    <w:rsid w:val="00B50F71"/>
    <w:rsid w:val="00B517E7"/>
    <w:rsid w:val="00B51E8A"/>
    <w:rsid w:val="00B51F99"/>
    <w:rsid w:val="00B52661"/>
    <w:rsid w:val="00B528F7"/>
    <w:rsid w:val="00B53C6E"/>
    <w:rsid w:val="00B53DDA"/>
    <w:rsid w:val="00B540C1"/>
    <w:rsid w:val="00B54167"/>
    <w:rsid w:val="00B54186"/>
    <w:rsid w:val="00B54416"/>
    <w:rsid w:val="00B54485"/>
    <w:rsid w:val="00B5570A"/>
    <w:rsid w:val="00B5634B"/>
    <w:rsid w:val="00B565D8"/>
    <w:rsid w:val="00B56B44"/>
    <w:rsid w:val="00B5758D"/>
    <w:rsid w:val="00B57761"/>
    <w:rsid w:val="00B60095"/>
    <w:rsid w:val="00B612FD"/>
    <w:rsid w:val="00B6264A"/>
    <w:rsid w:val="00B63642"/>
    <w:rsid w:val="00B63734"/>
    <w:rsid w:val="00B63AE4"/>
    <w:rsid w:val="00B6424D"/>
    <w:rsid w:val="00B64BA9"/>
    <w:rsid w:val="00B65CA6"/>
    <w:rsid w:val="00B66875"/>
    <w:rsid w:val="00B66B39"/>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BFA"/>
    <w:rsid w:val="00BB2F61"/>
    <w:rsid w:val="00BB2FE9"/>
    <w:rsid w:val="00BB394D"/>
    <w:rsid w:val="00BB3A98"/>
    <w:rsid w:val="00BB3B15"/>
    <w:rsid w:val="00BB4117"/>
    <w:rsid w:val="00BB4222"/>
    <w:rsid w:val="00BB4301"/>
    <w:rsid w:val="00BB4A31"/>
    <w:rsid w:val="00BB4BD2"/>
    <w:rsid w:val="00BB4D31"/>
    <w:rsid w:val="00BB54E8"/>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894"/>
    <w:rsid w:val="00BE2CD9"/>
    <w:rsid w:val="00BE2EDA"/>
    <w:rsid w:val="00BE32A6"/>
    <w:rsid w:val="00BE3C38"/>
    <w:rsid w:val="00BE4232"/>
    <w:rsid w:val="00BE464D"/>
    <w:rsid w:val="00BE4E66"/>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956"/>
    <w:rsid w:val="00BF3228"/>
    <w:rsid w:val="00BF3400"/>
    <w:rsid w:val="00BF37C1"/>
    <w:rsid w:val="00BF395D"/>
    <w:rsid w:val="00BF4390"/>
    <w:rsid w:val="00BF4E8E"/>
    <w:rsid w:val="00BF501B"/>
    <w:rsid w:val="00BF514A"/>
    <w:rsid w:val="00BF53FE"/>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99D"/>
    <w:rsid w:val="00C14A75"/>
    <w:rsid w:val="00C14E45"/>
    <w:rsid w:val="00C15622"/>
    <w:rsid w:val="00C15DD6"/>
    <w:rsid w:val="00C16487"/>
    <w:rsid w:val="00C164A9"/>
    <w:rsid w:val="00C16677"/>
    <w:rsid w:val="00C167A9"/>
    <w:rsid w:val="00C16C4E"/>
    <w:rsid w:val="00C1754C"/>
    <w:rsid w:val="00C17C5B"/>
    <w:rsid w:val="00C17C6B"/>
    <w:rsid w:val="00C17E7B"/>
    <w:rsid w:val="00C17EB9"/>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97"/>
    <w:rsid w:val="00C657A8"/>
    <w:rsid w:val="00C65B7A"/>
    <w:rsid w:val="00C65F14"/>
    <w:rsid w:val="00C65FA7"/>
    <w:rsid w:val="00C66331"/>
    <w:rsid w:val="00C66AD6"/>
    <w:rsid w:val="00C6734F"/>
    <w:rsid w:val="00C67497"/>
    <w:rsid w:val="00C6751A"/>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3B00"/>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844"/>
    <w:rsid w:val="00C9696D"/>
    <w:rsid w:val="00C96C32"/>
    <w:rsid w:val="00C96CC4"/>
    <w:rsid w:val="00CA0882"/>
    <w:rsid w:val="00CA1001"/>
    <w:rsid w:val="00CA10FF"/>
    <w:rsid w:val="00CA17CB"/>
    <w:rsid w:val="00CA17E4"/>
    <w:rsid w:val="00CA1A6C"/>
    <w:rsid w:val="00CA1FE7"/>
    <w:rsid w:val="00CA2FC7"/>
    <w:rsid w:val="00CA39CB"/>
    <w:rsid w:val="00CA3F16"/>
    <w:rsid w:val="00CA431E"/>
    <w:rsid w:val="00CA43FC"/>
    <w:rsid w:val="00CA448A"/>
    <w:rsid w:val="00CA4CFC"/>
    <w:rsid w:val="00CA4F55"/>
    <w:rsid w:val="00CA5558"/>
    <w:rsid w:val="00CA557E"/>
    <w:rsid w:val="00CA5A03"/>
    <w:rsid w:val="00CA5B75"/>
    <w:rsid w:val="00CA5F9F"/>
    <w:rsid w:val="00CA649D"/>
    <w:rsid w:val="00CA77FD"/>
    <w:rsid w:val="00CA7CCF"/>
    <w:rsid w:val="00CA7EAC"/>
    <w:rsid w:val="00CB09C2"/>
    <w:rsid w:val="00CB17DC"/>
    <w:rsid w:val="00CB1C5D"/>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BCA"/>
    <w:rsid w:val="00CC4174"/>
    <w:rsid w:val="00CC463C"/>
    <w:rsid w:val="00CC4888"/>
    <w:rsid w:val="00CC5026"/>
    <w:rsid w:val="00CC5336"/>
    <w:rsid w:val="00CC620A"/>
    <w:rsid w:val="00CC6F36"/>
    <w:rsid w:val="00CC6F71"/>
    <w:rsid w:val="00CD0043"/>
    <w:rsid w:val="00CD03C0"/>
    <w:rsid w:val="00CD062D"/>
    <w:rsid w:val="00CD0D2A"/>
    <w:rsid w:val="00CD2555"/>
    <w:rsid w:val="00CD2E1C"/>
    <w:rsid w:val="00CD2FEB"/>
    <w:rsid w:val="00CD35A5"/>
    <w:rsid w:val="00CD35F0"/>
    <w:rsid w:val="00CD3D49"/>
    <w:rsid w:val="00CD402D"/>
    <w:rsid w:val="00CD422A"/>
    <w:rsid w:val="00CD42BD"/>
    <w:rsid w:val="00CD42FB"/>
    <w:rsid w:val="00CD48AA"/>
    <w:rsid w:val="00CD48F4"/>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382D"/>
    <w:rsid w:val="00CE4A1D"/>
    <w:rsid w:val="00CE6484"/>
    <w:rsid w:val="00CE669A"/>
    <w:rsid w:val="00CE6BD9"/>
    <w:rsid w:val="00CE74DB"/>
    <w:rsid w:val="00CF1EB8"/>
    <w:rsid w:val="00CF2DC2"/>
    <w:rsid w:val="00CF35F6"/>
    <w:rsid w:val="00CF3835"/>
    <w:rsid w:val="00CF41DE"/>
    <w:rsid w:val="00CF4D0A"/>
    <w:rsid w:val="00CF69BA"/>
    <w:rsid w:val="00CF7C00"/>
    <w:rsid w:val="00CF7DDB"/>
    <w:rsid w:val="00D0012B"/>
    <w:rsid w:val="00D0035E"/>
    <w:rsid w:val="00D01693"/>
    <w:rsid w:val="00D01879"/>
    <w:rsid w:val="00D01E17"/>
    <w:rsid w:val="00D032E6"/>
    <w:rsid w:val="00D03796"/>
    <w:rsid w:val="00D03A35"/>
    <w:rsid w:val="00D03CD5"/>
    <w:rsid w:val="00D03F9A"/>
    <w:rsid w:val="00D041BA"/>
    <w:rsid w:val="00D04C93"/>
    <w:rsid w:val="00D0636A"/>
    <w:rsid w:val="00D064CA"/>
    <w:rsid w:val="00D06BF4"/>
    <w:rsid w:val="00D07272"/>
    <w:rsid w:val="00D078D2"/>
    <w:rsid w:val="00D07E50"/>
    <w:rsid w:val="00D109A0"/>
    <w:rsid w:val="00D110FF"/>
    <w:rsid w:val="00D11675"/>
    <w:rsid w:val="00D12112"/>
    <w:rsid w:val="00D1224C"/>
    <w:rsid w:val="00D12359"/>
    <w:rsid w:val="00D125DB"/>
    <w:rsid w:val="00D12646"/>
    <w:rsid w:val="00D1342C"/>
    <w:rsid w:val="00D14817"/>
    <w:rsid w:val="00D14EB0"/>
    <w:rsid w:val="00D15448"/>
    <w:rsid w:val="00D162A1"/>
    <w:rsid w:val="00D17246"/>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1CD9"/>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47DE0"/>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BAE"/>
    <w:rsid w:val="00DD0EB9"/>
    <w:rsid w:val="00DD1FA8"/>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10F"/>
    <w:rsid w:val="00DE0349"/>
    <w:rsid w:val="00DE064F"/>
    <w:rsid w:val="00DE0A72"/>
    <w:rsid w:val="00DE0B72"/>
    <w:rsid w:val="00DE0B77"/>
    <w:rsid w:val="00DE0C9A"/>
    <w:rsid w:val="00DE152C"/>
    <w:rsid w:val="00DE1BEB"/>
    <w:rsid w:val="00DE2922"/>
    <w:rsid w:val="00DE2A94"/>
    <w:rsid w:val="00DE2CCC"/>
    <w:rsid w:val="00DE2F9C"/>
    <w:rsid w:val="00DE3350"/>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24C4"/>
    <w:rsid w:val="00DF30FE"/>
    <w:rsid w:val="00DF38CA"/>
    <w:rsid w:val="00DF39D1"/>
    <w:rsid w:val="00DF3D62"/>
    <w:rsid w:val="00DF4091"/>
    <w:rsid w:val="00DF457E"/>
    <w:rsid w:val="00DF5445"/>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4899"/>
    <w:rsid w:val="00E2563C"/>
    <w:rsid w:val="00E256B6"/>
    <w:rsid w:val="00E25FA4"/>
    <w:rsid w:val="00E2670F"/>
    <w:rsid w:val="00E26CC7"/>
    <w:rsid w:val="00E27D80"/>
    <w:rsid w:val="00E30B66"/>
    <w:rsid w:val="00E31087"/>
    <w:rsid w:val="00E3124B"/>
    <w:rsid w:val="00E313B4"/>
    <w:rsid w:val="00E313F3"/>
    <w:rsid w:val="00E323E9"/>
    <w:rsid w:val="00E32EF4"/>
    <w:rsid w:val="00E330E9"/>
    <w:rsid w:val="00E334DC"/>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683E"/>
    <w:rsid w:val="00E46E74"/>
    <w:rsid w:val="00E47194"/>
    <w:rsid w:val="00E4747F"/>
    <w:rsid w:val="00E47F3E"/>
    <w:rsid w:val="00E47F62"/>
    <w:rsid w:val="00E50F1C"/>
    <w:rsid w:val="00E517F9"/>
    <w:rsid w:val="00E51877"/>
    <w:rsid w:val="00E51C41"/>
    <w:rsid w:val="00E51F50"/>
    <w:rsid w:val="00E52488"/>
    <w:rsid w:val="00E5286B"/>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11D"/>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DCD"/>
    <w:rsid w:val="00EB0305"/>
    <w:rsid w:val="00EB1960"/>
    <w:rsid w:val="00EB20C3"/>
    <w:rsid w:val="00EB2E28"/>
    <w:rsid w:val="00EB355E"/>
    <w:rsid w:val="00EB3626"/>
    <w:rsid w:val="00EB3818"/>
    <w:rsid w:val="00EB38CF"/>
    <w:rsid w:val="00EB3E51"/>
    <w:rsid w:val="00EB47FE"/>
    <w:rsid w:val="00EB4D87"/>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DD"/>
    <w:rsid w:val="00EC388F"/>
    <w:rsid w:val="00EC3C5A"/>
    <w:rsid w:val="00EC455B"/>
    <w:rsid w:val="00EC4624"/>
    <w:rsid w:val="00EC4B4B"/>
    <w:rsid w:val="00EC5258"/>
    <w:rsid w:val="00EC5350"/>
    <w:rsid w:val="00EC559D"/>
    <w:rsid w:val="00EC5D70"/>
    <w:rsid w:val="00EC6355"/>
    <w:rsid w:val="00EC6462"/>
    <w:rsid w:val="00EC75C6"/>
    <w:rsid w:val="00EC768D"/>
    <w:rsid w:val="00EC7719"/>
    <w:rsid w:val="00EC787A"/>
    <w:rsid w:val="00EC7D27"/>
    <w:rsid w:val="00ED0067"/>
    <w:rsid w:val="00ED05B0"/>
    <w:rsid w:val="00ED0D7E"/>
    <w:rsid w:val="00ED1072"/>
    <w:rsid w:val="00ED133B"/>
    <w:rsid w:val="00ED13CB"/>
    <w:rsid w:val="00ED16B3"/>
    <w:rsid w:val="00ED1932"/>
    <w:rsid w:val="00ED1B6B"/>
    <w:rsid w:val="00ED1BA3"/>
    <w:rsid w:val="00ED26D4"/>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5F1"/>
    <w:rsid w:val="00EE2A8C"/>
    <w:rsid w:val="00EE2BCC"/>
    <w:rsid w:val="00EE2EE4"/>
    <w:rsid w:val="00EE3106"/>
    <w:rsid w:val="00EE32CE"/>
    <w:rsid w:val="00EE3BD7"/>
    <w:rsid w:val="00EE3D1D"/>
    <w:rsid w:val="00EE3DDF"/>
    <w:rsid w:val="00EE416D"/>
    <w:rsid w:val="00EE48EB"/>
    <w:rsid w:val="00EE5281"/>
    <w:rsid w:val="00EE5707"/>
    <w:rsid w:val="00EE570E"/>
    <w:rsid w:val="00EE6163"/>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6C9"/>
    <w:rsid w:val="00EF4090"/>
    <w:rsid w:val="00EF451D"/>
    <w:rsid w:val="00EF46F5"/>
    <w:rsid w:val="00EF4894"/>
    <w:rsid w:val="00EF49D4"/>
    <w:rsid w:val="00EF4C0A"/>
    <w:rsid w:val="00EF7106"/>
    <w:rsid w:val="00EF7372"/>
    <w:rsid w:val="00EF7AD6"/>
    <w:rsid w:val="00EF7E99"/>
    <w:rsid w:val="00EF7F85"/>
    <w:rsid w:val="00F00067"/>
    <w:rsid w:val="00F000EE"/>
    <w:rsid w:val="00F0100C"/>
    <w:rsid w:val="00F0108E"/>
    <w:rsid w:val="00F011E2"/>
    <w:rsid w:val="00F011E3"/>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A29"/>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5E5"/>
    <w:rsid w:val="00F25D98"/>
    <w:rsid w:val="00F25D9F"/>
    <w:rsid w:val="00F264B8"/>
    <w:rsid w:val="00F26727"/>
    <w:rsid w:val="00F27471"/>
    <w:rsid w:val="00F27E1D"/>
    <w:rsid w:val="00F300FB"/>
    <w:rsid w:val="00F30992"/>
    <w:rsid w:val="00F30DDD"/>
    <w:rsid w:val="00F310B5"/>
    <w:rsid w:val="00F312E8"/>
    <w:rsid w:val="00F327B2"/>
    <w:rsid w:val="00F32A2F"/>
    <w:rsid w:val="00F33F63"/>
    <w:rsid w:val="00F34600"/>
    <w:rsid w:val="00F34BCE"/>
    <w:rsid w:val="00F34CFD"/>
    <w:rsid w:val="00F35391"/>
    <w:rsid w:val="00F353B5"/>
    <w:rsid w:val="00F359C8"/>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431"/>
    <w:rsid w:val="00F4357D"/>
    <w:rsid w:val="00F43607"/>
    <w:rsid w:val="00F436F5"/>
    <w:rsid w:val="00F4399F"/>
    <w:rsid w:val="00F4400F"/>
    <w:rsid w:val="00F44BA7"/>
    <w:rsid w:val="00F44FD4"/>
    <w:rsid w:val="00F4514B"/>
    <w:rsid w:val="00F453F9"/>
    <w:rsid w:val="00F45C34"/>
    <w:rsid w:val="00F47E24"/>
    <w:rsid w:val="00F5023A"/>
    <w:rsid w:val="00F5024A"/>
    <w:rsid w:val="00F507B4"/>
    <w:rsid w:val="00F51510"/>
    <w:rsid w:val="00F51B6B"/>
    <w:rsid w:val="00F52204"/>
    <w:rsid w:val="00F52F2D"/>
    <w:rsid w:val="00F52FA2"/>
    <w:rsid w:val="00F532EC"/>
    <w:rsid w:val="00F54736"/>
    <w:rsid w:val="00F54FA1"/>
    <w:rsid w:val="00F5511D"/>
    <w:rsid w:val="00F553D9"/>
    <w:rsid w:val="00F563CA"/>
    <w:rsid w:val="00F57ABA"/>
    <w:rsid w:val="00F57F9F"/>
    <w:rsid w:val="00F601EA"/>
    <w:rsid w:val="00F60B1F"/>
    <w:rsid w:val="00F60E19"/>
    <w:rsid w:val="00F60F8C"/>
    <w:rsid w:val="00F6168A"/>
    <w:rsid w:val="00F61B11"/>
    <w:rsid w:val="00F62252"/>
    <w:rsid w:val="00F627A7"/>
    <w:rsid w:val="00F62AA1"/>
    <w:rsid w:val="00F62D21"/>
    <w:rsid w:val="00F63506"/>
    <w:rsid w:val="00F63B24"/>
    <w:rsid w:val="00F64979"/>
    <w:rsid w:val="00F64CE0"/>
    <w:rsid w:val="00F65A28"/>
    <w:rsid w:val="00F65C0C"/>
    <w:rsid w:val="00F65C67"/>
    <w:rsid w:val="00F66B47"/>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5EC"/>
    <w:rsid w:val="00F7665D"/>
    <w:rsid w:val="00F76A5F"/>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3AB"/>
    <w:rsid w:val="00F8543F"/>
    <w:rsid w:val="00F859A5"/>
    <w:rsid w:val="00F859D1"/>
    <w:rsid w:val="00F85F14"/>
    <w:rsid w:val="00F86839"/>
    <w:rsid w:val="00F86902"/>
    <w:rsid w:val="00F86C1F"/>
    <w:rsid w:val="00F90DA8"/>
    <w:rsid w:val="00F92625"/>
    <w:rsid w:val="00F9290B"/>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97F59"/>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18B"/>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171F"/>
    <w:rsid w:val="00FC2097"/>
    <w:rsid w:val="00FC29DD"/>
    <w:rsid w:val="00FC2E20"/>
    <w:rsid w:val="00FC37C5"/>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8F9"/>
    <w:rsid w:val="00FF4C23"/>
    <w:rsid w:val="00FF5522"/>
    <w:rsid w:val="00FF594B"/>
    <w:rsid w:val="00FF60D8"/>
    <w:rsid w:val="00FF616E"/>
    <w:rsid w:val="00FF6574"/>
    <w:rsid w:val="00FF69E6"/>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3FF0430-C1D6-4512-967E-2DF6F6124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8430</TotalTime>
  <Pages>4</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1047</cp:revision>
  <cp:lastPrinted>1900-01-01T08:00:00Z</cp:lastPrinted>
  <dcterms:created xsi:type="dcterms:W3CDTF">2022-01-10T22:12:00Z</dcterms:created>
  <dcterms:modified xsi:type="dcterms:W3CDTF">2024-04-08T13:17:00Z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